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1" locked="0" layoutInCell="1" allowOverlap="1">
            <wp:simplePos x="0" y="0"/>
            <wp:positionH relativeFrom="column">
              <wp:posOffset>201930</wp:posOffset>
            </wp:positionH>
            <wp:positionV relativeFrom="paragraph">
              <wp:posOffset>0</wp:posOffset>
            </wp:positionV>
            <wp:extent cx="586740" cy="647700"/>
            <wp:effectExtent l="0" t="0" r="3810" b="0"/>
            <wp:wrapTight wrapText="bothSides">
              <wp:wrapPolygon edited="0">
                <wp:start x="0" y="0"/>
                <wp:lineTo x="0" y="20965"/>
                <wp:lineTo x="21039" y="20965"/>
                <wp:lineTo x="210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740" cy="647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5566410</wp:posOffset>
            </wp:positionH>
            <wp:positionV relativeFrom="paragraph">
              <wp:posOffset>0</wp:posOffset>
            </wp:positionV>
            <wp:extent cx="691515" cy="671195"/>
            <wp:effectExtent l="0" t="0" r="0" b="0"/>
            <wp:wrapTight wrapText="bothSides">
              <wp:wrapPolygon edited="0">
                <wp:start x="0" y="0"/>
                <wp:lineTo x="0" y="20844"/>
                <wp:lineTo x="20826" y="20844"/>
                <wp:lineTo x="208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mission.jpg"/>
                    <pic:cNvPicPr/>
                  </pic:nvPicPr>
                  <pic:blipFill>
                    <a:blip r:embed="rId8">
                      <a:extLst>
                        <a:ext uri="{28A0092B-C50C-407E-A947-70E740481C1C}">
                          <a14:useLocalDpi xmlns:a14="http://schemas.microsoft.com/office/drawing/2010/main" val="0"/>
                        </a:ext>
                      </a:extLst>
                    </a:blip>
                    <a:stretch>
                      <a:fillRect/>
                    </a:stretch>
                  </pic:blipFill>
                  <pic:spPr>
                    <a:xfrm>
                      <a:off x="0" y="0"/>
                      <a:ext cx="691515" cy="671195"/>
                    </a:xfrm>
                    <a:prstGeom prst="rect">
                      <a:avLst/>
                    </a:prstGeom>
                  </pic:spPr>
                </pic:pic>
              </a:graphicData>
            </a:graphic>
            <wp14:sizeRelH relativeFrom="margin">
              <wp14:pctWidth>0</wp14:pctWidth>
            </wp14:sizeRelH>
            <wp14:sizeRelV relativeFrom="margin">
              <wp14:pctHeight>0</wp14:pctHeight>
            </wp14:sizeRelV>
          </wp:anchor>
        </w:drawing>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 overview for 2021-24, detail for 2023-24</w:t>
      </w:r>
    </w:p>
    <w:p>
      <w:pPr>
        <w:pStyle w:val="Heading2"/>
        <w:jc w:val="both"/>
        <w:rPr>
          <w:b w:val="0"/>
          <w:bCs/>
          <w:color w:val="auto"/>
          <w:sz w:val="24"/>
          <w:szCs w:val="24"/>
        </w:rPr>
      </w:pPr>
      <w:r>
        <w:rPr>
          <w:b w:val="0"/>
          <w:bCs/>
          <w:color w:val="auto"/>
          <w:sz w:val="24"/>
          <w:szCs w:val="24"/>
        </w:rPr>
        <w:t xml:space="preserve">This statement details our school’s use of pupil premium (and recovery premium for the 2022 to 2023 academic year) funding to help improve the attainment of our disadvantaged pupils. </w:t>
      </w:r>
    </w:p>
    <w:p>
      <w:pPr>
        <w:pStyle w:val="Heading2"/>
        <w:spacing w:before="240"/>
        <w:jc w:val="both"/>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5098"/>
        <w:gridCol w:w="4388"/>
      </w:tblGrid>
      <w:tr>
        <w:tc>
          <w:tcPr>
            <w:tcW w:w="50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Detail</w:t>
            </w:r>
          </w:p>
        </w:tc>
        <w:tc>
          <w:tcPr>
            <w:tcW w:w="4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Data</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School name</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Padiham St Leonard’s CE VA Primary</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Number of pupils in school </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308</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Proportion (%) of pupil premium eligible pupils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36.7%</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 xml:space="preserve">Academic year/years that our current pupil premium strategy plan covers </w:t>
            </w:r>
            <w:r>
              <w:rPr>
                <w:b/>
                <w:bCs/>
                <w:szCs w:val="22"/>
              </w:rPr>
              <w:t>(3 year plans are recommended)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2021/22, 2022/23, 2023/24</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this statement was first published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09</w:t>
            </w:r>
            <w:r>
              <w:rPr>
                <w:vertAlign w:val="superscript"/>
              </w:rPr>
              <w:t>th</w:t>
            </w:r>
            <w:r>
              <w:t xml:space="preserve"> December 2021</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Cs w:val="22"/>
              </w:rPr>
            </w:pPr>
            <w:r>
              <w:rPr>
                <w:szCs w:val="22"/>
              </w:rPr>
              <w:t>Date this update was published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on which it will be next reviewed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Sept 2024</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Statement authorised by</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Full Governing Body</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Pupil premium lead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Bev Holmes</w:t>
            </w:r>
          </w:p>
        </w:tc>
      </w:tr>
      <w:t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Governor </w:t>
            </w:r>
            <w:r>
              <w:rPr>
                <w:szCs w:val="22"/>
              </w:rPr>
              <w:t xml:space="preserve">/ Trustee </w:t>
            </w:r>
            <w:r>
              <w:t>lead</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p>
        </w:tc>
      </w:tr>
    </w:tbl>
    <w:bookmarkEnd w:id="2"/>
    <w:bookmarkEnd w:id="3"/>
    <w:bookmarkEnd w:id="4"/>
    <w:p>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Amount</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£164,415</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£0</w:t>
            </w:r>
          </w:p>
        </w:tc>
      </w:tr>
      <w:t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rPr>
            </w:pPr>
            <w:r>
              <w:rPr>
                <w:b/>
              </w:rPr>
              <w:t>Total budget for this academic year</w:t>
            </w:r>
          </w:p>
          <w:p>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£164,415</w:t>
            </w:r>
          </w:p>
        </w:tc>
      </w:tr>
    </w:tbl>
    <w:p>
      <w:pPr>
        <w:pStyle w:val="Heading1"/>
      </w:pPr>
      <w:r>
        <w:lastRenderedPageBreak/>
        <w:t>Part A: Pupil premium strategy plan</w:t>
      </w:r>
    </w:p>
    <w:p>
      <w:pPr>
        <w:pStyle w:val="Heading2"/>
      </w:pPr>
      <w:bookmarkStart w:id="14" w:name="_Toc357771640"/>
      <w:bookmarkStart w:id="15" w:name="_Toc346793418"/>
      <w:r>
        <w:t>Statement of intent</w:t>
      </w:r>
    </w:p>
    <w:tbl>
      <w:tblPr>
        <w:tblW w:w="9776" w:type="dxa"/>
        <w:tblCellMar>
          <w:left w:w="10" w:type="dxa"/>
          <w:right w:w="10" w:type="dxa"/>
        </w:tblCellMar>
        <w:tblLook w:val="04A0" w:firstRow="1" w:lastRow="0" w:firstColumn="1" w:lastColumn="0" w:noHBand="0" w:noVBand="1"/>
      </w:tblPr>
      <w:tblGrid>
        <w:gridCol w:w="9776"/>
      </w:tblGrid>
      <w:t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Default"/>
              <w:jc w:val="both"/>
              <w:rPr>
                <w:rFonts w:ascii="Trebuchet MS" w:hAnsi="Trebuchet MS"/>
                <w:sz w:val="22"/>
                <w:szCs w:val="22"/>
              </w:rPr>
            </w:pPr>
            <w:r>
              <w:rPr>
                <w:rFonts w:ascii="Trebuchet MS" w:hAnsi="Trebuchet MS"/>
                <w:sz w:val="22"/>
                <w:szCs w:val="22"/>
              </w:rPr>
              <w:t xml:space="preserve">At Padiham St Leonard’s CE VA Primary School, justice is our priority. Therefore, we aim to ensure that our teaching and learning meets the needs of </w:t>
            </w:r>
            <w:r>
              <w:rPr>
                <w:rFonts w:ascii="Trebuchet MS" w:hAnsi="Trebuchet MS"/>
                <w:b/>
                <w:sz w:val="22"/>
                <w:szCs w:val="22"/>
              </w:rPr>
              <w:t>all</w:t>
            </w:r>
            <w:r>
              <w:rPr>
                <w:rFonts w:ascii="Trebuchet MS" w:hAnsi="Trebuchet MS"/>
                <w:sz w:val="22"/>
                <w:szCs w:val="22"/>
              </w:rPr>
              <w:t xml:space="preserve"> pupils and enables them to reach their God-given potential. </w:t>
            </w:r>
          </w:p>
          <w:p>
            <w:pPr>
              <w:pStyle w:val="Default"/>
              <w:jc w:val="both"/>
              <w:rPr>
                <w:rFonts w:ascii="Trebuchet MS" w:hAnsi="Trebuchet MS"/>
                <w:sz w:val="22"/>
                <w:szCs w:val="22"/>
              </w:rPr>
            </w:pPr>
            <w:r>
              <w:rPr>
                <w:rFonts w:ascii="Trebuchet MS" w:hAnsi="Trebuchet MS"/>
                <w:sz w:val="22"/>
                <w:szCs w:val="22"/>
              </w:rPr>
              <w:t xml:space="preserve">Our trust deed states </w:t>
            </w:r>
            <w:r>
              <w:rPr>
                <w:rFonts w:ascii="Trebuchet MS" w:hAnsi="Trebuchet MS"/>
                <w:color w:val="212121"/>
                <w:sz w:val="22"/>
                <w:szCs w:val="22"/>
                <w:shd w:val="clear" w:color="auto" w:fill="FFFFFF"/>
              </w:rPr>
              <w:t>that our school should be used ‘as a school for the poor inhabitants of the township of Padiham and neighbourhood and this school should always be in union with the National Society’.</w:t>
            </w:r>
            <w:r>
              <w:rPr>
                <w:rFonts w:ascii="Trebuchet MS" w:hAnsi="Trebuchet MS"/>
                <w:sz w:val="22"/>
                <w:szCs w:val="22"/>
              </w:rPr>
              <w:t xml:space="preserve"> We are therefore dedicated to ensuring that pupils who belong to vulnerable groups receive the appropriate provision to meet their needs whatever their funding. </w:t>
            </w:r>
          </w:p>
          <w:p>
            <w:pPr>
              <w:spacing w:before="120"/>
              <w:jc w:val="both"/>
              <w:rPr>
                <w:rFonts w:ascii="Trebuchet MS" w:hAnsi="Trebuchet MS"/>
                <w:color w:val="auto"/>
                <w:sz w:val="22"/>
                <w:szCs w:val="22"/>
              </w:rPr>
            </w:pPr>
            <w:r>
              <w:rPr>
                <w:rFonts w:ascii="Trebuchet MS" w:hAnsi="Trebuchet MS"/>
                <w:sz w:val="22"/>
                <w:szCs w:val="22"/>
              </w:rPr>
              <w:t xml:space="preserve">The </w:t>
            </w:r>
            <w:r>
              <w:rPr>
                <w:rFonts w:ascii="Trebuchet MS" w:hAnsi="Trebuchet MS"/>
                <w:color w:val="auto"/>
                <w:sz w:val="22"/>
                <w:szCs w:val="22"/>
              </w:rPr>
              <w:t>pupil premium will be used to provide additional support to improve the progress and raise standards of achievement for these pupils. The funding will be used to narrow and close the gap between the achievement of these pupils and their peers. In addition, it will be used to address social disadvantage and enrich the children’s lives.</w:t>
            </w:r>
          </w:p>
          <w:p>
            <w:pPr>
              <w:spacing w:after="0"/>
              <w:jc w:val="both"/>
              <w:rPr>
                <w:rFonts w:ascii="Trebuchet MS" w:hAnsi="Trebuchet MS"/>
                <w:sz w:val="22"/>
                <w:szCs w:val="22"/>
              </w:rPr>
            </w:pPr>
            <w:r>
              <w:rPr>
                <w:rFonts w:ascii="Trebuchet MS" w:hAnsi="Trebuchet MS"/>
                <w:sz w:val="22"/>
                <w:szCs w:val="22"/>
              </w:rPr>
              <w:t xml:space="preserve">We want </w:t>
            </w:r>
            <w:r>
              <w:rPr>
                <w:rFonts w:ascii="Trebuchet MS" w:hAnsi="Trebuchet MS"/>
                <w:b/>
                <w:sz w:val="22"/>
                <w:szCs w:val="22"/>
              </w:rPr>
              <w:t>all</w:t>
            </w:r>
            <w:r>
              <w:rPr>
                <w:rFonts w:ascii="Trebuchet MS" w:hAnsi="Trebuchet MS"/>
                <w:sz w:val="22"/>
                <w:szCs w:val="22"/>
              </w:rPr>
              <w:t xml:space="preserve"> our pupils to develop </w:t>
            </w:r>
            <w:r>
              <w:rPr>
                <w:rFonts w:ascii="Trebuchet MS" w:hAnsi="Trebuchet MS"/>
                <w:b/>
                <w:sz w:val="22"/>
                <w:szCs w:val="22"/>
              </w:rPr>
              <w:t>FRUITS</w:t>
            </w:r>
            <w:r>
              <w:rPr>
                <w:rFonts w:ascii="Trebuchet MS" w:hAnsi="Trebuchet MS"/>
                <w:sz w:val="22"/>
                <w:szCs w:val="22"/>
              </w:rPr>
              <w:t>:</w:t>
            </w:r>
          </w:p>
          <w:p>
            <w:pPr>
              <w:pStyle w:val="ListParagraph"/>
              <w:numPr>
                <w:ilvl w:val="0"/>
                <w:numId w:val="15"/>
              </w:numPr>
              <w:suppressAutoHyphens w:val="0"/>
              <w:autoSpaceDN/>
              <w:spacing w:after="0" w:line="259" w:lineRule="auto"/>
              <w:jc w:val="both"/>
              <w:rPr>
                <w:rFonts w:ascii="Trebuchet MS" w:hAnsi="Trebuchet MS"/>
                <w:sz w:val="22"/>
                <w:szCs w:val="22"/>
              </w:rPr>
            </w:pPr>
            <w:r>
              <w:rPr>
                <w:rFonts w:ascii="Trebuchet MS" w:hAnsi="Trebuchet MS"/>
                <w:b/>
                <w:sz w:val="22"/>
                <w:szCs w:val="22"/>
              </w:rPr>
              <w:t>F</w:t>
            </w:r>
            <w:r>
              <w:rPr>
                <w:rFonts w:ascii="Trebuchet MS" w:hAnsi="Trebuchet MS"/>
                <w:sz w:val="22"/>
                <w:szCs w:val="22"/>
              </w:rPr>
              <w:t>aith - develop courage, resilience and patience, through their own personal faith in God, so they can retain hope and joy even during hard experiences.</w:t>
            </w:r>
            <w:r>
              <w:rPr>
                <w:rFonts w:ascii="Trebuchet MS" w:hAnsi="Trebuchet MS"/>
                <w:b/>
                <w:sz w:val="22"/>
                <w:szCs w:val="22"/>
              </w:rPr>
              <w:t xml:space="preserve"> (John 1:12)</w:t>
            </w:r>
          </w:p>
          <w:p>
            <w:pPr>
              <w:pStyle w:val="ListParagraph"/>
              <w:numPr>
                <w:ilvl w:val="0"/>
                <w:numId w:val="15"/>
              </w:numPr>
              <w:suppressAutoHyphens w:val="0"/>
              <w:autoSpaceDN/>
              <w:spacing w:after="0" w:line="259" w:lineRule="auto"/>
              <w:jc w:val="both"/>
              <w:rPr>
                <w:rFonts w:ascii="Trebuchet MS" w:hAnsi="Trebuchet MS"/>
                <w:sz w:val="22"/>
                <w:szCs w:val="22"/>
              </w:rPr>
            </w:pPr>
            <w:r>
              <w:rPr>
                <w:rFonts w:ascii="Trebuchet MS" w:hAnsi="Trebuchet MS"/>
                <w:b/>
                <w:sz w:val="22"/>
                <w:szCs w:val="22"/>
              </w:rPr>
              <w:t>R</w:t>
            </w:r>
            <w:r>
              <w:rPr>
                <w:rFonts w:ascii="Trebuchet MS" w:hAnsi="Trebuchet MS"/>
                <w:sz w:val="22"/>
                <w:szCs w:val="22"/>
              </w:rPr>
              <w:t xml:space="preserve">elationships - flourish through strong relationships with themselves, each other, creation and God. </w:t>
            </w:r>
            <w:r>
              <w:rPr>
                <w:rFonts w:ascii="Trebuchet MS" w:hAnsi="Trebuchet MS"/>
                <w:b/>
                <w:sz w:val="22"/>
                <w:szCs w:val="22"/>
              </w:rPr>
              <w:t>(Luke 10:27)</w:t>
            </w:r>
          </w:p>
          <w:p>
            <w:pPr>
              <w:pStyle w:val="ListParagraph"/>
              <w:numPr>
                <w:ilvl w:val="0"/>
                <w:numId w:val="15"/>
              </w:numPr>
              <w:suppressAutoHyphens w:val="0"/>
              <w:autoSpaceDN/>
              <w:spacing w:after="0" w:line="259" w:lineRule="auto"/>
              <w:jc w:val="both"/>
              <w:rPr>
                <w:rFonts w:ascii="Trebuchet MS" w:hAnsi="Trebuchet MS"/>
                <w:sz w:val="22"/>
                <w:szCs w:val="22"/>
              </w:rPr>
            </w:pPr>
            <w:r>
              <w:rPr>
                <w:rFonts w:ascii="Trebuchet MS" w:hAnsi="Trebuchet MS"/>
                <w:b/>
                <w:sz w:val="22"/>
                <w:szCs w:val="22"/>
              </w:rPr>
              <w:t>U</w:t>
            </w:r>
            <w:r>
              <w:rPr>
                <w:rFonts w:ascii="Trebuchet MS" w:hAnsi="Trebuchet MS"/>
                <w:sz w:val="22"/>
                <w:szCs w:val="22"/>
              </w:rPr>
              <w:t xml:space="preserve">niqueness - have the self-confidence to understand their uniqueness and God-given purpose to become the person God created them to be. </w:t>
            </w:r>
            <w:r>
              <w:rPr>
                <w:rFonts w:ascii="Trebuchet MS" w:hAnsi="Trebuchet MS"/>
                <w:b/>
                <w:sz w:val="22"/>
                <w:szCs w:val="22"/>
              </w:rPr>
              <w:t>(Matthew 10:30)</w:t>
            </w:r>
          </w:p>
          <w:p>
            <w:pPr>
              <w:pStyle w:val="ListParagraph"/>
              <w:numPr>
                <w:ilvl w:val="0"/>
                <w:numId w:val="15"/>
              </w:numPr>
              <w:suppressAutoHyphens w:val="0"/>
              <w:autoSpaceDN/>
              <w:spacing w:after="0" w:line="259" w:lineRule="auto"/>
              <w:jc w:val="both"/>
              <w:rPr>
                <w:rFonts w:ascii="Trebuchet MS" w:hAnsi="Trebuchet MS"/>
                <w:sz w:val="22"/>
                <w:szCs w:val="22"/>
              </w:rPr>
            </w:pPr>
            <w:r>
              <w:rPr>
                <w:rFonts w:ascii="Trebuchet MS" w:hAnsi="Trebuchet MS"/>
                <w:b/>
                <w:sz w:val="22"/>
                <w:szCs w:val="22"/>
              </w:rPr>
              <w:t>I</w:t>
            </w:r>
            <w:r>
              <w:rPr>
                <w:rFonts w:ascii="Trebuchet MS" w:hAnsi="Trebuchet MS"/>
                <w:sz w:val="22"/>
                <w:szCs w:val="22"/>
              </w:rPr>
              <w:t>ntellect – develop a keen intellect and use this talent and ability wisely to protect and enhance themselves, their communities and the environment.</w:t>
            </w:r>
            <w:r>
              <w:rPr>
                <w:rFonts w:ascii="Trebuchet MS" w:hAnsi="Trebuchet MS"/>
                <w:b/>
                <w:sz w:val="22"/>
                <w:szCs w:val="22"/>
              </w:rPr>
              <w:t xml:space="preserve"> (Proverbs 3:13)</w:t>
            </w:r>
          </w:p>
          <w:p>
            <w:pPr>
              <w:pStyle w:val="ListParagraph"/>
              <w:numPr>
                <w:ilvl w:val="0"/>
                <w:numId w:val="15"/>
              </w:numPr>
              <w:suppressAutoHyphens w:val="0"/>
              <w:autoSpaceDN/>
              <w:spacing w:after="0" w:line="259" w:lineRule="auto"/>
              <w:jc w:val="both"/>
              <w:rPr>
                <w:rFonts w:ascii="Trebuchet MS" w:hAnsi="Trebuchet MS"/>
                <w:sz w:val="22"/>
                <w:szCs w:val="22"/>
              </w:rPr>
            </w:pPr>
            <w:r>
              <w:rPr>
                <w:rFonts w:ascii="Trebuchet MS" w:hAnsi="Trebuchet MS"/>
                <w:b/>
                <w:sz w:val="22"/>
                <w:szCs w:val="22"/>
              </w:rPr>
              <w:t>T</w:t>
            </w:r>
            <w:r>
              <w:rPr>
                <w:rFonts w:ascii="Trebuchet MS" w:hAnsi="Trebuchet MS"/>
                <w:sz w:val="22"/>
                <w:szCs w:val="22"/>
              </w:rPr>
              <w:t xml:space="preserve">reat themselves and others with dignity and respect maintaining a healthy body and thriving community. </w:t>
            </w:r>
            <w:r>
              <w:rPr>
                <w:rFonts w:ascii="Trebuchet MS" w:hAnsi="Trebuchet MS"/>
                <w:b/>
                <w:sz w:val="22"/>
                <w:szCs w:val="22"/>
              </w:rPr>
              <w:t>(1 Peter 2:17)</w:t>
            </w:r>
          </w:p>
          <w:p>
            <w:pPr>
              <w:pStyle w:val="ListParagraph"/>
              <w:numPr>
                <w:ilvl w:val="0"/>
                <w:numId w:val="15"/>
              </w:numPr>
              <w:suppressAutoHyphens w:val="0"/>
              <w:autoSpaceDN/>
              <w:spacing w:after="0" w:line="259" w:lineRule="auto"/>
              <w:jc w:val="both"/>
              <w:rPr>
                <w:rFonts w:ascii="Trebuchet MS" w:hAnsi="Trebuchet MS"/>
                <w:sz w:val="22"/>
                <w:szCs w:val="22"/>
              </w:rPr>
            </w:pPr>
            <w:r>
              <w:rPr>
                <w:rFonts w:ascii="Trebuchet MS" w:hAnsi="Trebuchet MS"/>
                <w:b/>
                <w:sz w:val="22"/>
                <w:szCs w:val="22"/>
              </w:rPr>
              <w:t>S</w:t>
            </w:r>
            <w:r>
              <w:rPr>
                <w:rFonts w:ascii="Trebuchet MS" w:hAnsi="Trebuchet MS"/>
                <w:sz w:val="22"/>
                <w:szCs w:val="22"/>
              </w:rPr>
              <w:t xml:space="preserve">alvation – have a recognition that we need to seek forgiveness through Jesus to become friends with God. </w:t>
            </w:r>
            <w:r>
              <w:rPr>
                <w:rFonts w:ascii="Trebuchet MS" w:hAnsi="Trebuchet MS"/>
                <w:b/>
                <w:sz w:val="22"/>
                <w:szCs w:val="22"/>
              </w:rPr>
              <w:t>(Ephesians 2: 8-9)</w:t>
            </w:r>
          </w:p>
          <w:p>
            <w:pPr>
              <w:spacing w:before="120"/>
              <w:jc w:val="both"/>
              <w:rPr>
                <w:rFonts w:ascii="Trebuchet MS" w:hAnsi="Trebuchet MS"/>
                <w:color w:val="auto"/>
                <w:sz w:val="22"/>
                <w:szCs w:val="22"/>
              </w:rPr>
            </w:pPr>
            <w:r>
              <w:rPr>
                <w:rFonts w:ascii="Trebuchet MS" w:hAnsi="Trebuchet MS"/>
                <w:color w:val="auto"/>
                <w:sz w:val="22"/>
                <w:szCs w:val="22"/>
              </w:rPr>
              <w:t xml:space="preserve">At the heart of our Pupil Premium Strategy we want to provide ‘hands on’, interactive learning experiences which encourage pupils to enjoy learning and aspire to discover more about the world around them and how they can become good stewards of God’s creation. We aim for all pupils to have a rich experience whilst developing core reading, writing and mathematical skills which support learning across the curriculum. </w:t>
            </w:r>
          </w:p>
          <w:p>
            <w:pPr>
              <w:spacing w:before="120"/>
              <w:jc w:val="both"/>
              <w:rPr>
                <w:rFonts w:ascii="Trebuchet MS" w:hAnsi="Trebuchet MS"/>
                <w:color w:val="auto"/>
                <w:sz w:val="22"/>
                <w:szCs w:val="22"/>
              </w:rPr>
            </w:pPr>
            <w:r>
              <w:rPr>
                <w:rFonts w:ascii="Trebuchet MS" w:hAnsi="Trebuchet MS"/>
                <w:color w:val="auto"/>
                <w:sz w:val="22"/>
                <w:szCs w:val="22"/>
              </w:rPr>
              <w:t>During the 3-year plan we will work to:</w:t>
            </w:r>
          </w:p>
          <w:p>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t>Raise attainment in KS1 and lower KS2 in reading by increasing reading fluency and accuracy and developing effective comprehension strategies.</w:t>
            </w:r>
          </w:p>
          <w:p>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t>Continue to develop a solid foundation in number and pupil’s confidence when applying this to manipulate numbers in different ways, raising attainment for previously lower attaining groups.</w:t>
            </w:r>
          </w:p>
          <w:p>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t>Refine our school curriculum, ensuring a high quality, sequential programme of study in each subject which identifies how the subject contributes to pupil development of FRUITS, pre-requisite knowledge and skills for each unit of work and the subject-specific substantive, disciplinary knowledge and concepts covered.</w:t>
            </w:r>
          </w:p>
          <w:p>
            <w:pPr>
              <w:pStyle w:val="ListParagraph"/>
              <w:numPr>
                <w:ilvl w:val="0"/>
                <w:numId w:val="16"/>
              </w:numPr>
              <w:spacing w:before="120"/>
              <w:jc w:val="both"/>
              <w:rPr>
                <w:rFonts w:ascii="Trebuchet MS" w:hAnsi="Trebuchet MS"/>
                <w:color w:val="auto"/>
                <w:sz w:val="22"/>
                <w:szCs w:val="22"/>
              </w:rPr>
            </w:pPr>
            <w:r>
              <w:rPr>
                <w:rFonts w:ascii="Trebuchet MS" w:hAnsi="Trebuchet MS"/>
                <w:color w:val="auto"/>
                <w:sz w:val="22"/>
                <w:szCs w:val="22"/>
              </w:rPr>
              <w:lastRenderedPageBreak/>
              <w:t>Develop children’s cognitive and meta-cognitive capability to make wise, well-informed opinions and decisions through ongoing staff development in embedding: Thinking Skills, P4C, Forest Schools and Emotion Works.</w:t>
            </w:r>
          </w:p>
        </w:tc>
      </w:tr>
    </w:tbl>
    <w:p>
      <w:pPr>
        <w:pStyle w:val="Heading2"/>
        <w:spacing w:before="600"/>
      </w:pPr>
      <w:r>
        <w:lastRenderedPageBreak/>
        <w:t>Challenges</w:t>
      </w:r>
    </w:p>
    <w:p>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 xml:space="preserve">Detail of challenge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Pupils have limited cultural capital which puts greater pressure on working memory when being introduced to new concepts and experiences.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Some pupils struggle to transfer key knowledge into long-term memory.</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Pupils need support to apply knowledge to new situations.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szCs w:val="22"/>
              </w:rPr>
            </w:pPr>
            <w:r>
              <w:rPr>
                <w:rFonts w:cs="Arial"/>
                <w:sz w:val="22"/>
                <w:szCs w:val="22"/>
              </w:rPr>
              <w:t>High percentage of pupils who have had Adverse Childhood Experiences and as a consequence struggle to regulate their emotions.</w:t>
            </w:r>
          </w:p>
        </w:tc>
      </w:tr>
      <w:tr>
        <w:trPr>
          <w:trHeight w:val="73"/>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szCs w:val="22"/>
              </w:rPr>
            </w:pPr>
            <w:r>
              <w:rPr>
                <w:sz w:val="22"/>
                <w:szCs w:val="22"/>
              </w:rPr>
              <w:t>Pupils enter school with a more limited vocabulary and communication skills than expected.</w:t>
            </w:r>
          </w:p>
        </w:tc>
      </w:tr>
    </w:tbl>
    <w:p>
      <w:pPr>
        <w:pStyle w:val="Heading2"/>
        <w:spacing w:before="600"/>
      </w:pPr>
      <w:bookmarkStart w:id="16" w:name="_Toc443397160"/>
      <w:r>
        <w:t xml:space="preserve">Intended outcomes </w:t>
      </w:r>
    </w:p>
    <w:p>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681"/>
        <w:gridCol w:w="5805"/>
      </w:tblGrid>
      <w:tr>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Intended outcome</w:t>
            </w:r>
          </w:p>
        </w:tc>
        <w:tc>
          <w:tcPr>
            <w:tcW w:w="58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Success criteria</w:t>
            </w:r>
          </w:p>
        </w:tc>
      </w:tr>
      <w:t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i/>
                <w:iCs/>
                <w:sz w:val="22"/>
                <w:szCs w:val="22"/>
              </w:rPr>
              <w:t>KS1 pupils to be able to apply phonics within their reading.</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Attainment in the Phonics Screening check to be </w:t>
            </w:r>
            <w:proofErr w:type="spellStart"/>
            <w:r>
              <w:rPr>
                <w:sz w:val="22"/>
                <w:szCs w:val="22"/>
              </w:rPr>
              <w:t>inline</w:t>
            </w:r>
            <w:proofErr w:type="spellEnd"/>
            <w:r>
              <w:rPr>
                <w:sz w:val="22"/>
                <w:szCs w:val="22"/>
              </w:rPr>
              <w:t xml:space="preserve"> with National averages by 2023</w:t>
            </w:r>
          </w:p>
        </w:tc>
      </w:tr>
      <w:t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sz w:val="22"/>
                <w:szCs w:val="22"/>
              </w:rPr>
            </w:pPr>
            <w:r>
              <w:rPr>
                <w:i/>
                <w:sz w:val="22"/>
                <w:szCs w:val="22"/>
              </w:rPr>
              <w:t>KS2 pupils to read with fluency and understanding</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All pupils able to discuss books they read for pleasure.</w:t>
            </w:r>
          </w:p>
          <w:p>
            <w:pPr>
              <w:pStyle w:val="TableRowCentered"/>
              <w:jc w:val="left"/>
              <w:rPr>
                <w:sz w:val="22"/>
                <w:szCs w:val="22"/>
              </w:rPr>
            </w:pPr>
            <w:r>
              <w:rPr>
                <w:sz w:val="22"/>
                <w:szCs w:val="22"/>
              </w:rPr>
              <w:t xml:space="preserve">Pupils to achieve an age related reading score inline or above their actual age on the </w:t>
            </w:r>
            <w:proofErr w:type="spellStart"/>
            <w:r>
              <w:rPr>
                <w:sz w:val="22"/>
                <w:szCs w:val="22"/>
              </w:rPr>
              <w:t>Lexplore</w:t>
            </w:r>
            <w:proofErr w:type="spellEnd"/>
            <w:r>
              <w:rPr>
                <w:sz w:val="22"/>
                <w:szCs w:val="22"/>
              </w:rPr>
              <w:t xml:space="preserve"> reading test.</w:t>
            </w:r>
          </w:p>
          <w:p>
            <w:pPr>
              <w:pStyle w:val="TableRowCentered"/>
              <w:jc w:val="left"/>
              <w:rPr>
                <w:sz w:val="22"/>
                <w:szCs w:val="22"/>
              </w:rPr>
            </w:pPr>
            <w:r>
              <w:rPr>
                <w:sz w:val="22"/>
                <w:szCs w:val="22"/>
              </w:rPr>
              <w:t xml:space="preserve">End of KS2 reading scores to be at least </w:t>
            </w:r>
            <w:proofErr w:type="spellStart"/>
            <w:r>
              <w:rPr>
                <w:sz w:val="22"/>
                <w:szCs w:val="22"/>
              </w:rPr>
              <w:t>inline</w:t>
            </w:r>
            <w:proofErr w:type="spellEnd"/>
            <w:r>
              <w:rPr>
                <w:sz w:val="22"/>
                <w:szCs w:val="22"/>
              </w:rPr>
              <w:t xml:space="preserve"> with the national average by 2022.</w:t>
            </w:r>
          </w:p>
        </w:tc>
      </w:tr>
      <w:t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sz w:val="22"/>
                <w:szCs w:val="22"/>
              </w:rPr>
            </w:pPr>
            <w:r>
              <w:rPr>
                <w:i/>
                <w:sz w:val="22"/>
                <w:szCs w:val="22"/>
              </w:rPr>
              <w:t>KS1 and lower KS2 pupils to develop fluency and understanding when manipulating number.</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 xml:space="preserve">End of KS1 mathematics results to be at least </w:t>
            </w:r>
            <w:proofErr w:type="spellStart"/>
            <w:r>
              <w:rPr>
                <w:sz w:val="22"/>
                <w:szCs w:val="22"/>
              </w:rPr>
              <w:t>inline</w:t>
            </w:r>
            <w:proofErr w:type="spellEnd"/>
            <w:r>
              <w:rPr>
                <w:sz w:val="22"/>
                <w:szCs w:val="22"/>
              </w:rPr>
              <w:t xml:space="preserve"> with national averages both at expected and greater depth by 2024.</w:t>
            </w:r>
          </w:p>
          <w:p>
            <w:pPr>
              <w:pStyle w:val="TableRowCentered"/>
              <w:jc w:val="left"/>
              <w:rPr>
                <w:sz w:val="22"/>
                <w:szCs w:val="22"/>
              </w:rPr>
            </w:pPr>
            <w:r>
              <w:rPr>
                <w:sz w:val="22"/>
                <w:szCs w:val="22"/>
              </w:rPr>
              <w:t xml:space="preserve">End of year attainment in lower KS2 to be at least </w:t>
            </w:r>
            <w:proofErr w:type="spellStart"/>
            <w:r>
              <w:rPr>
                <w:sz w:val="22"/>
                <w:szCs w:val="22"/>
              </w:rPr>
              <w:t>inline</w:t>
            </w:r>
            <w:proofErr w:type="spellEnd"/>
            <w:r>
              <w:rPr>
                <w:sz w:val="22"/>
                <w:szCs w:val="22"/>
              </w:rPr>
              <w:t xml:space="preserve"> with national averages by 2024.</w:t>
            </w:r>
          </w:p>
        </w:tc>
      </w:tr>
      <w:t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sz w:val="22"/>
                <w:szCs w:val="22"/>
              </w:rPr>
            </w:pPr>
            <w:r>
              <w:rPr>
                <w:i/>
                <w:sz w:val="22"/>
                <w:szCs w:val="22"/>
              </w:rPr>
              <w:t>All pupils to demonstrate high levels of engagement and ability to work collaboratively when solving problems across the curriculum.</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All pupils able to demonstrate creative, collaborative, critical and caring thinking.</w:t>
            </w:r>
          </w:p>
          <w:p>
            <w:pPr>
              <w:pStyle w:val="TableRowCentered"/>
              <w:jc w:val="left"/>
              <w:rPr>
                <w:sz w:val="22"/>
                <w:szCs w:val="22"/>
              </w:rPr>
            </w:pPr>
            <w:r>
              <w:rPr>
                <w:sz w:val="22"/>
                <w:szCs w:val="22"/>
              </w:rPr>
              <w:t xml:space="preserve">Attendance for disadvantaged pupils to be </w:t>
            </w:r>
            <w:proofErr w:type="spellStart"/>
            <w:r>
              <w:rPr>
                <w:sz w:val="22"/>
                <w:szCs w:val="22"/>
              </w:rPr>
              <w:t>inline</w:t>
            </w:r>
            <w:proofErr w:type="spellEnd"/>
            <w:r>
              <w:rPr>
                <w:sz w:val="22"/>
                <w:szCs w:val="22"/>
              </w:rPr>
              <w:t xml:space="preserve"> with the national average for all pupils by July 2023.</w:t>
            </w:r>
          </w:p>
        </w:tc>
      </w:tr>
    </w:tbl>
    <w:p>
      <w:pPr>
        <w:pStyle w:val="Heading2"/>
      </w:pPr>
      <w:r>
        <w:lastRenderedPageBreak/>
        <w:t>Activity in this academic year</w:t>
      </w:r>
    </w:p>
    <w:p>
      <w:pPr>
        <w:spacing w:after="480"/>
      </w:pPr>
      <w:r>
        <w:t xml:space="preserve">This details how we intend to spend our pupil premium (and recovery premium funding) </w:t>
      </w:r>
      <w:r>
        <w:rPr>
          <w:b/>
          <w:bCs/>
        </w:rPr>
        <w:t>this academic year</w:t>
      </w:r>
      <w:r>
        <w:t xml:space="preserve"> to address the challenges listed above.</w:t>
      </w:r>
    </w:p>
    <w:p>
      <w:pPr>
        <w:pStyle w:val="Heading3"/>
      </w:pPr>
      <w:r>
        <w:t>Teaching (for example, CPD, recruitment and retention)</w:t>
      </w:r>
    </w:p>
    <w:p>
      <w:r>
        <w:t xml:space="preserve">Budgeted cost: £ </w:t>
      </w:r>
      <w:r>
        <w:rPr>
          <w:i/>
          <w:iCs/>
        </w:rPr>
        <w:t>100,288</w:t>
      </w:r>
    </w:p>
    <w:tbl>
      <w:tblPr>
        <w:tblW w:w="5153" w:type="pct"/>
        <w:tblCellMar>
          <w:left w:w="10" w:type="dxa"/>
          <w:right w:w="10" w:type="dxa"/>
        </w:tblCellMar>
        <w:tblLook w:val="04A0" w:firstRow="1" w:lastRow="0" w:firstColumn="1" w:lastColumn="0" w:noHBand="0" w:noVBand="1"/>
      </w:tblPr>
      <w:tblGrid>
        <w:gridCol w:w="1524"/>
        <w:gridCol w:w="2974"/>
        <w:gridCol w:w="3722"/>
        <w:gridCol w:w="1556"/>
      </w:tblGrid>
      <w:tr>
        <w:tc>
          <w:tcPr>
            <w:tcW w:w="1524" w:type="dxa"/>
            <w:tcBorders>
              <w:top w:val="single" w:sz="4" w:space="0" w:color="000000"/>
              <w:left w:val="single" w:sz="4" w:space="0" w:color="000000"/>
              <w:bottom w:val="single" w:sz="4" w:space="0" w:color="000000"/>
              <w:right w:val="single" w:sz="4" w:space="0" w:color="000000"/>
            </w:tcBorders>
            <w:shd w:val="clear" w:color="auto" w:fill="D8E2E9"/>
          </w:tcPr>
          <w:p>
            <w:pPr>
              <w:pStyle w:val="TableHeader"/>
            </w:pPr>
            <w:r>
              <w:t>Focus</w:t>
            </w:r>
          </w:p>
        </w:tc>
        <w:tc>
          <w:tcPr>
            <w:tcW w:w="29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pPr>
            <w:r>
              <w:t>Activity</w:t>
            </w:r>
          </w:p>
        </w:tc>
        <w:tc>
          <w:tcPr>
            <w:tcW w:w="37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pPr>
            <w:r>
              <w:t>Evidence that supports this approach</w:t>
            </w:r>
          </w:p>
        </w:tc>
        <w:tc>
          <w:tcPr>
            <w:tcW w:w="15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pPr>
            <w:r>
              <w:t>Challenge number(s) addressed</w:t>
            </w:r>
          </w:p>
        </w:tc>
      </w:tr>
      <w:tr>
        <w:tc>
          <w:tcPr>
            <w:tcW w:w="1524" w:type="dxa"/>
            <w:vMerge w:val="restart"/>
            <w:tcBorders>
              <w:top w:val="single" w:sz="4" w:space="0" w:color="000000"/>
              <w:left w:val="single" w:sz="4" w:space="0" w:color="000000"/>
              <w:right w:val="single" w:sz="4" w:space="0" w:color="000000"/>
            </w:tcBorders>
          </w:tcPr>
          <w:p>
            <w:pPr>
              <w:pStyle w:val="TableRow"/>
              <w:ind w:left="0"/>
              <w:rPr>
                <w:color w:val="auto"/>
                <w:sz w:val="20"/>
                <w:szCs w:val="20"/>
                <w:highlight w:val="yellow"/>
              </w:rPr>
            </w:pPr>
            <w:r>
              <w:rPr>
                <w:color w:val="auto"/>
                <w:sz w:val="20"/>
                <w:szCs w:val="20"/>
              </w:rPr>
              <w:t>Ensure the teaching of word recognition is consistent and has a high priority to develop fluent readers.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color w:val="auto"/>
                <w:sz w:val="20"/>
                <w:szCs w:val="20"/>
              </w:rPr>
            </w:pPr>
            <w:r>
              <w:rPr>
                <w:rFonts w:asciiTheme="minorHAnsi" w:hAnsiTheme="minorHAnsi" w:cstheme="minorHAnsi"/>
                <w:color w:val="auto"/>
                <w:sz w:val="20"/>
                <w:szCs w:val="20"/>
              </w:rPr>
              <w:t>EYFS and Year 1 staff to observe each other teach tricky words, discuss approaches towards a common issue (ways to support pupils in retaining tricky words at a faster pace), give feedback to celebrate what is already working and discuss further approaches to explore.</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hyperlink r:id="rId9" w:history="1">
              <w:r>
                <w:rPr>
                  <w:rFonts w:asciiTheme="minorHAnsi" w:eastAsia="MS Mincho" w:hAnsiTheme="minorHAnsi" w:cstheme="minorHAnsi"/>
                  <w:color w:val="0000FF"/>
                  <w:sz w:val="20"/>
                  <w:u w:val="single"/>
                  <w:lang w:eastAsia="en-US"/>
                </w:rPr>
                <w:t>Sharing good teaching practice - Teaching Expertise</w:t>
              </w:r>
            </w:hyperlink>
            <w:r>
              <w:rPr>
                <w:rFonts w:asciiTheme="minorHAnsi" w:eastAsia="MS Mincho" w:hAnsiTheme="minorHAnsi" w:cstheme="minorHAnsi"/>
                <w:color w:val="auto"/>
                <w:sz w:val="20"/>
                <w:lang w:eastAsia="en-US"/>
              </w:rPr>
              <w:t xml:space="preserve"> (Co-construction approach)</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1,2,3</w:t>
            </w:r>
          </w:p>
        </w:tc>
      </w:tr>
      <w:tr>
        <w:tc>
          <w:tcPr>
            <w:tcW w:w="1524" w:type="dxa"/>
            <w:vMerge/>
            <w:tcBorders>
              <w:left w:val="single" w:sz="4" w:space="0" w:color="000000"/>
              <w:right w:val="single" w:sz="4" w:space="0" w:color="000000"/>
            </w:tcBorders>
          </w:tcPr>
          <w:p>
            <w:pPr>
              <w:pStyle w:val="TableRow"/>
              <w:ind w:left="0"/>
              <w:rPr>
                <w:color w:val="auto"/>
                <w:sz w:val="20"/>
                <w:szCs w:val="20"/>
                <w:highlight w:val="yellow"/>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color w:val="auto"/>
                <w:sz w:val="20"/>
                <w:szCs w:val="20"/>
                <w:highlight w:val="yellow"/>
              </w:rPr>
            </w:pPr>
            <w:r>
              <w:rPr>
                <w:rFonts w:asciiTheme="minorHAnsi" w:hAnsiTheme="minorHAnsi" w:cstheme="minorHAnsi"/>
                <w:color w:val="auto"/>
                <w:sz w:val="20"/>
                <w:szCs w:val="20"/>
              </w:rPr>
              <w:t xml:space="preserve">All new EYFS/KS1 staff to be trained in Little </w:t>
            </w:r>
            <w:proofErr w:type="spellStart"/>
            <w:r>
              <w:rPr>
                <w:rFonts w:asciiTheme="minorHAnsi" w:hAnsiTheme="minorHAnsi" w:cstheme="minorHAnsi"/>
                <w:color w:val="auto"/>
                <w:sz w:val="20"/>
                <w:szCs w:val="20"/>
              </w:rPr>
              <w:t>Wandle</w:t>
            </w:r>
            <w:proofErr w:type="spellEnd"/>
            <w:r>
              <w:rPr>
                <w:rFonts w:asciiTheme="minorHAnsi" w:hAnsiTheme="minorHAnsi" w:cstheme="minorHAnsi"/>
                <w:color w:val="auto"/>
                <w:sz w:val="20"/>
                <w:szCs w:val="20"/>
              </w:rPr>
              <w:t xml:space="preserve"> approach.</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r>
              <w:rPr>
                <w:rFonts w:asciiTheme="minorHAnsi" w:hAnsiTheme="minorHAnsi" w:cstheme="minorHAnsi"/>
                <w:color w:val="auto"/>
                <w:sz w:val="20"/>
              </w:rPr>
              <w:t>EEF Toolkit – phonics</w:t>
            </w:r>
          </w:p>
          <w:p>
            <w:pPr>
              <w:pStyle w:val="TableRowCentered"/>
              <w:jc w:val="left"/>
              <w:rPr>
                <w:rFonts w:asciiTheme="minorHAnsi" w:hAnsiTheme="minorHAnsi" w:cstheme="minorHAnsi"/>
                <w:color w:val="auto"/>
                <w:sz w:val="20"/>
              </w:rPr>
            </w:pPr>
            <w:r>
              <w:rPr>
                <w:rFonts w:asciiTheme="minorHAnsi" w:hAnsiTheme="minorHAnsi" w:cstheme="minorHAnsi"/>
                <w:color w:val="auto"/>
                <w:sz w:val="20"/>
              </w:rPr>
              <w:t>The reading Framework Jan 2022</w:t>
            </w:r>
          </w:p>
          <w:p>
            <w:pPr>
              <w:pStyle w:val="TableRowCentered"/>
              <w:jc w:val="left"/>
              <w:rPr>
                <w:color w:val="auto"/>
                <w:sz w:val="20"/>
              </w:rPr>
            </w:pPr>
            <w:r>
              <w:rPr>
                <w:rFonts w:asciiTheme="minorHAnsi" w:hAnsiTheme="minorHAnsi" w:cstheme="minorHAnsi"/>
                <w:color w:val="auto"/>
                <w:sz w:val="20"/>
              </w:rPr>
              <w:t>OFSTED Bold Beginnings 2017</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1,2</w:t>
            </w:r>
          </w:p>
        </w:tc>
      </w:tr>
      <w:tr>
        <w:tc>
          <w:tcPr>
            <w:tcW w:w="1524" w:type="dxa"/>
            <w:vMerge/>
            <w:tcBorders>
              <w:left w:val="single" w:sz="4" w:space="0" w:color="000000"/>
              <w:right w:val="single" w:sz="4" w:space="0" w:color="000000"/>
            </w:tcBorders>
            <w:shd w:val="clear" w:color="auto" w:fill="auto"/>
          </w:tcPr>
          <w:p>
            <w:pPr>
              <w:pStyle w:val="TableRow"/>
              <w:ind w:left="0"/>
              <w:rPr>
                <w:color w:val="auto"/>
                <w:sz w:val="20"/>
                <w:szCs w:val="20"/>
                <w:highlight w:val="yellow"/>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color w:val="auto"/>
                <w:sz w:val="20"/>
                <w:szCs w:val="20"/>
              </w:rPr>
            </w:pPr>
            <w:r>
              <w:rPr>
                <w:rFonts w:asciiTheme="minorHAnsi" w:hAnsiTheme="minorHAnsi" w:cstheme="minorHAnsi"/>
                <w:color w:val="auto"/>
                <w:sz w:val="20"/>
                <w:szCs w:val="20"/>
              </w:rPr>
              <w:t>Monitor the active ingredients to ensure a consistent approach to developing fluent readers with good comprehension skills in Year 2-3 through guided reading sessions based on fluency (decoding, prosody and checking sense), recall and inference.</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eastAsia="MS Mincho" w:hAnsiTheme="minorHAnsi" w:cstheme="minorHAnsi"/>
                <w:color w:val="auto"/>
                <w:sz w:val="20"/>
                <w:lang w:eastAsia="en-US"/>
              </w:rPr>
            </w:pPr>
            <w:hyperlink r:id="rId10" w:history="1">
              <w:r>
                <w:rPr>
                  <w:rFonts w:asciiTheme="minorHAnsi" w:eastAsia="MS Mincho" w:hAnsiTheme="minorHAnsi" w:cstheme="minorHAnsi"/>
                  <w:color w:val="0000FF"/>
                  <w:sz w:val="20"/>
                  <w:u w:val="single"/>
                  <w:lang w:eastAsia="en-US"/>
                </w:rPr>
                <w:t>Reading comprehension strategies | EEF (educationendowmentfoundation.org.uk)</w:t>
              </w:r>
            </w:hyperlink>
          </w:p>
          <w:p>
            <w:pPr>
              <w:pStyle w:val="TableRowCentered"/>
              <w:jc w:val="left"/>
              <w:rPr>
                <w:color w:val="auto"/>
                <w:sz w:val="20"/>
              </w:rPr>
            </w:pPr>
            <w:hyperlink r:id="rId11" w:history="1">
              <w:r>
                <w:rPr>
                  <w:rFonts w:asciiTheme="minorHAnsi" w:eastAsia="MS Mincho" w:hAnsiTheme="minorHAnsi" w:cstheme="minorHAnsi"/>
                  <w:color w:val="0000FF"/>
                  <w:sz w:val="20"/>
                  <w:u w:val="single"/>
                  <w:lang w:eastAsia="en-US"/>
                </w:rPr>
                <w:t>EEF-Active-Ingredients-Summary.pdf (d2tic4wvo1iusb.cloudfront.net)</w:t>
              </w:r>
            </w:hyperlink>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1,3</w:t>
            </w:r>
          </w:p>
        </w:tc>
      </w:tr>
      <w:tr>
        <w:tc>
          <w:tcPr>
            <w:tcW w:w="1524" w:type="dxa"/>
            <w:vMerge/>
            <w:tcBorders>
              <w:left w:val="single" w:sz="4" w:space="0" w:color="000000"/>
              <w:right w:val="single" w:sz="4" w:space="0" w:color="000000"/>
            </w:tcBorders>
            <w:shd w:val="clear" w:color="auto" w:fill="auto"/>
          </w:tcPr>
          <w:p>
            <w:pPr>
              <w:pStyle w:val="TableRow"/>
              <w:ind w:left="0"/>
              <w:rPr>
                <w:color w:val="auto"/>
                <w:sz w:val="20"/>
                <w:szCs w:val="20"/>
                <w:highlight w:val="yellow"/>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color w:val="auto"/>
                <w:sz w:val="20"/>
                <w:szCs w:val="20"/>
                <w:highlight w:val="yellow"/>
              </w:rPr>
            </w:pPr>
            <w:r>
              <w:rPr>
                <w:rFonts w:asciiTheme="minorHAnsi" w:hAnsiTheme="minorHAnsi" w:cstheme="minorHAnsi"/>
                <w:color w:val="auto"/>
                <w:sz w:val="20"/>
                <w:szCs w:val="20"/>
              </w:rPr>
              <w:t>Monitor the active ingredients to ensure a consistent approach to teaching reading in Year 4 – 6 (Fluency to Immersion)</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eastAsia="MS Mincho" w:hAnsiTheme="minorHAnsi" w:cstheme="minorHAnsi"/>
                <w:color w:val="auto"/>
                <w:sz w:val="20"/>
                <w:lang w:eastAsia="en-US"/>
              </w:rPr>
            </w:pPr>
            <w:hyperlink r:id="rId12" w:history="1">
              <w:r>
                <w:rPr>
                  <w:rFonts w:asciiTheme="minorHAnsi" w:eastAsia="MS Mincho" w:hAnsiTheme="minorHAnsi" w:cstheme="minorHAnsi"/>
                  <w:color w:val="0000FF"/>
                  <w:sz w:val="20"/>
                  <w:u w:val="single"/>
                  <w:lang w:eastAsia="en-US"/>
                </w:rPr>
                <w:t>Reading comprehension strategies | EEF (educationendowmentfoundation.org.uk)</w:t>
              </w:r>
            </w:hyperlink>
          </w:p>
          <w:p>
            <w:pPr>
              <w:pStyle w:val="TableRowCentered"/>
              <w:jc w:val="left"/>
            </w:pPr>
            <w:hyperlink r:id="rId13" w:history="1">
              <w:r>
                <w:rPr>
                  <w:rFonts w:asciiTheme="minorHAnsi" w:eastAsia="MS Mincho" w:hAnsiTheme="minorHAnsi" w:cstheme="minorHAnsi"/>
                  <w:color w:val="0000FF"/>
                  <w:sz w:val="20"/>
                  <w:u w:val="single"/>
                  <w:lang w:eastAsia="en-US"/>
                </w:rPr>
                <w:t>EEF-Active-Ingredients-Summary.pdf (d2tic4wvo1iusb.cloudfront.net)</w:t>
              </w:r>
            </w:hyperlink>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1,3</w:t>
            </w:r>
          </w:p>
        </w:tc>
      </w:tr>
      <w:tr>
        <w:tc>
          <w:tcPr>
            <w:tcW w:w="1524" w:type="dxa"/>
            <w:vMerge/>
            <w:tcBorders>
              <w:left w:val="single" w:sz="4" w:space="0" w:color="000000"/>
              <w:bottom w:val="single" w:sz="12" w:space="0" w:color="auto"/>
              <w:right w:val="single" w:sz="4" w:space="0" w:color="000000"/>
            </w:tcBorders>
            <w:shd w:val="clear" w:color="auto" w:fill="auto"/>
          </w:tcPr>
          <w:p>
            <w:pPr>
              <w:pStyle w:val="TableRow"/>
              <w:ind w:left="0"/>
              <w:rPr>
                <w:color w:val="auto"/>
                <w:sz w:val="20"/>
                <w:szCs w:val="20"/>
                <w:highlight w:val="yellow"/>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color w:val="auto"/>
                <w:sz w:val="20"/>
                <w:szCs w:val="20"/>
              </w:rPr>
            </w:pPr>
            <w:r>
              <w:rPr>
                <w:rFonts w:asciiTheme="minorHAnsi" w:hAnsiTheme="minorHAnsi" w:cstheme="minorHAnsi"/>
                <w:color w:val="auto"/>
                <w:sz w:val="20"/>
                <w:szCs w:val="20"/>
              </w:rPr>
              <w:t>Create a reading list of high-quality texts for each unit of work. Purchase appropriate books and ensure these texts are integrated into learning.</w:t>
            </w:r>
          </w:p>
        </w:tc>
        <w:tc>
          <w:tcPr>
            <w:tcW w:w="3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hyperlink r:id="rId14" w:history="1">
              <w:r>
                <w:rPr>
                  <w:rFonts w:asciiTheme="minorHAnsi" w:eastAsia="MS Mincho" w:hAnsiTheme="minorHAnsi" w:cstheme="minorHAnsi"/>
                  <w:color w:val="0000FF"/>
                  <w:sz w:val="20"/>
                  <w:u w:val="single"/>
                  <w:lang w:eastAsia="en-US"/>
                </w:rPr>
                <w:t>What We Know Works - Choosing &amp; Using Quality Texts.pdf (clpe.org.uk)</w:t>
              </w:r>
            </w:hyperlink>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r>
              <w:rPr>
                <w:color w:val="auto"/>
                <w:sz w:val="20"/>
              </w:rPr>
              <w:t>1, 5</w:t>
            </w:r>
          </w:p>
        </w:tc>
      </w:tr>
      <w:tr>
        <w:tc>
          <w:tcPr>
            <w:tcW w:w="1524" w:type="dxa"/>
            <w:vMerge w:val="restart"/>
            <w:tcBorders>
              <w:top w:val="single" w:sz="12" w:space="0" w:color="auto"/>
              <w:left w:val="single" w:sz="4" w:space="0" w:color="000000"/>
              <w:right w:val="single" w:sz="4" w:space="0" w:color="000000"/>
            </w:tcBorders>
          </w:tcPr>
          <w:p>
            <w:pPr>
              <w:pStyle w:val="TableRow"/>
              <w:ind w:left="0"/>
              <w:rPr>
                <w:color w:val="auto"/>
                <w:sz w:val="20"/>
                <w:szCs w:val="20"/>
              </w:rPr>
            </w:pPr>
            <w:r>
              <w:rPr>
                <w:color w:val="auto"/>
                <w:sz w:val="20"/>
                <w:szCs w:val="20"/>
              </w:rPr>
              <w:t>To embed ‘Teaching for Mastery’ in mathematics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color w:val="auto"/>
                <w:sz w:val="20"/>
                <w:szCs w:val="20"/>
              </w:rPr>
            </w:pPr>
            <w:r>
              <w:rPr>
                <w:rFonts w:asciiTheme="minorHAnsi" w:hAnsiTheme="minorHAnsi" w:cstheme="minorHAnsi"/>
                <w:sz w:val="20"/>
                <w:szCs w:val="20"/>
              </w:rPr>
              <w:t>All staff to observe other staff to share good practice, discuss how to embed pre-teach sessions before new concepts/models are introduced and discuss any common misconceptions or difficulties children have encountered.</w:t>
            </w:r>
          </w:p>
        </w:tc>
        <w:tc>
          <w:tcPr>
            <w:tcW w:w="37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hyperlink r:id="rId15" w:history="1">
              <w:r>
                <w:rPr>
                  <w:rFonts w:asciiTheme="minorHAnsi" w:eastAsia="MS Mincho" w:hAnsiTheme="minorHAnsi" w:cstheme="minorHAnsi"/>
                  <w:color w:val="0000FF"/>
                  <w:sz w:val="20"/>
                  <w:u w:val="single"/>
                  <w:lang w:eastAsia="en-US"/>
                </w:rPr>
                <w:t>Sharing good teaching practice - Teaching Expertise</w:t>
              </w:r>
            </w:hyperlink>
            <w:r>
              <w:rPr>
                <w:rFonts w:asciiTheme="minorHAnsi" w:eastAsia="MS Mincho" w:hAnsiTheme="minorHAnsi" w:cstheme="minorHAnsi"/>
                <w:color w:val="auto"/>
                <w:sz w:val="20"/>
                <w:lang w:eastAsia="en-US"/>
              </w:rPr>
              <w:t xml:space="preserve"> (Co-construction approach)</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1,2,3</w:t>
            </w:r>
          </w:p>
        </w:tc>
      </w:tr>
      <w:tr>
        <w:tc>
          <w:tcPr>
            <w:tcW w:w="1524" w:type="dxa"/>
            <w:vMerge/>
            <w:tcBorders>
              <w:top w:val="single" w:sz="12" w:space="0" w:color="auto"/>
              <w:left w:val="single" w:sz="4" w:space="0" w:color="000000"/>
              <w:right w:val="single" w:sz="4" w:space="0" w:color="000000"/>
            </w:tcBorders>
          </w:tcPr>
          <w:p>
            <w:pPr>
              <w:pStyle w:val="TableRow"/>
              <w:ind w:left="0"/>
              <w:rPr>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rPr>
                <w:rFonts w:asciiTheme="minorHAnsi" w:hAnsiTheme="minorHAnsi" w:cstheme="minorHAnsi"/>
                <w:sz w:val="20"/>
                <w:szCs w:val="20"/>
              </w:rPr>
            </w:pPr>
            <w:r>
              <w:rPr>
                <w:rFonts w:asciiTheme="minorHAnsi" w:hAnsiTheme="minorHAnsi" w:cstheme="minorHAnsi"/>
                <w:sz w:val="20"/>
                <w:szCs w:val="20"/>
              </w:rPr>
              <w:t>Mathematics Subject Leader to undertake termly monitoring to ensure that all classes:</w:t>
            </w:r>
          </w:p>
          <w:p>
            <w:pPr>
              <w:pStyle w:val="ListParagraph"/>
              <w:numPr>
                <w:ilvl w:val="0"/>
                <w:numId w:val="20"/>
              </w:numPr>
              <w:suppressAutoHyphens w:val="0"/>
              <w:autoSpaceDN/>
              <w:spacing w:after="0" w:line="240" w:lineRule="auto"/>
              <w:rPr>
                <w:rFonts w:asciiTheme="minorHAnsi" w:hAnsiTheme="minorHAnsi" w:cstheme="minorHAnsi"/>
                <w:sz w:val="20"/>
                <w:szCs w:val="20"/>
              </w:rPr>
            </w:pPr>
            <w:r>
              <w:rPr>
                <w:rFonts w:asciiTheme="minorHAnsi" w:hAnsiTheme="minorHAnsi" w:cstheme="minorHAnsi"/>
                <w:sz w:val="20"/>
                <w:szCs w:val="20"/>
              </w:rPr>
              <w:t>Have high quality delivery of Red Rose</w:t>
            </w:r>
          </w:p>
          <w:p>
            <w:pPr>
              <w:pStyle w:val="ListParagraph"/>
              <w:numPr>
                <w:ilvl w:val="0"/>
                <w:numId w:val="20"/>
              </w:numPr>
              <w:suppressAutoHyphens w:val="0"/>
              <w:autoSpaceDN/>
              <w:spacing w:after="0" w:line="240" w:lineRule="auto"/>
              <w:rPr>
                <w:rFonts w:asciiTheme="minorHAnsi" w:hAnsiTheme="minorHAnsi" w:cstheme="minorHAnsi"/>
                <w:sz w:val="20"/>
                <w:szCs w:val="20"/>
              </w:rPr>
            </w:pPr>
            <w:r>
              <w:rPr>
                <w:rFonts w:asciiTheme="minorHAnsi" w:hAnsiTheme="minorHAnsi" w:cstheme="minorHAnsi"/>
                <w:sz w:val="20"/>
                <w:szCs w:val="20"/>
              </w:rPr>
              <w:t>Embed pre-teach sessions before new concepts/models are introduced</w:t>
            </w:r>
          </w:p>
          <w:p>
            <w:pPr>
              <w:pStyle w:val="ListParagraph"/>
              <w:numPr>
                <w:ilvl w:val="0"/>
                <w:numId w:val="20"/>
              </w:numPr>
              <w:suppressAutoHyphens w:val="0"/>
              <w:autoSpaceDN/>
              <w:spacing w:after="0" w:line="240" w:lineRule="auto"/>
              <w:rPr>
                <w:rFonts w:asciiTheme="minorHAnsi" w:hAnsiTheme="minorHAnsi" w:cstheme="minorHAnsi"/>
                <w:sz w:val="20"/>
                <w:szCs w:val="20"/>
              </w:rPr>
            </w:pPr>
            <w:r>
              <w:rPr>
                <w:rFonts w:asciiTheme="minorHAnsi" w:hAnsiTheme="minorHAnsi" w:cstheme="minorHAnsi"/>
                <w:sz w:val="20"/>
                <w:szCs w:val="20"/>
              </w:rPr>
              <w:t>Embed consolidation sessions when required</w:t>
            </w:r>
          </w:p>
          <w:p>
            <w:pPr>
              <w:pStyle w:val="TableRow"/>
              <w:spacing w:after="0"/>
              <w:ind w:left="0"/>
              <w:rPr>
                <w:rFonts w:asciiTheme="minorHAnsi" w:hAnsiTheme="minorHAnsi" w:cstheme="minorHAnsi"/>
                <w:sz w:val="20"/>
                <w:szCs w:val="20"/>
              </w:rPr>
            </w:pPr>
            <w:r>
              <w:rPr>
                <w:rFonts w:asciiTheme="minorHAnsi" w:hAnsiTheme="minorHAnsi" w:cstheme="minorHAnsi"/>
                <w:sz w:val="20"/>
                <w:szCs w:val="20"/>
              </w:rPr>
              <w:t>There is a consistent approach.</w:t>
            </w:r>
          </w:p>
        </w:tc>
        <w:tc>
          <w:tcPr>
            <w:tcW w:w="37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r>
              <w:rPr>
                <w:color w:val="auto"/>
                <w:sz w:val="20"/>
              </w:rPr>
              <w:t>1, 2, 3</w:t>
            </w:r>
          </w:p>
        </w:tc>
      </w:tr>
      <w:tr>
        <w:tc>
          <w:tcPr>
            <w:tcW w:w="1524" w:type="dxa"/>
            <w:vMerge/>
            <w:tcBorders>
              <w:left w:val="single" w:sz="4" w:space="0" w:color="000000"/>
              <w:right w:val="single" w:sz="4" w:space="0" w:color="000000"/>
            </w:tcBorders>
          </w:tcPr>
          <w:p>
            <w:pPr>
              <w:pStyle w:val="TableRow"/>
              <w:ind w:left="0"/>
              <w:rPr>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color w:val="auto"/>
                <w:sz w:val="20"/>
                <w:szCs w:val="20"/>
              </w:rPr>
            </w:pPr>
            <w:r>
              <w:rPr>
                <w:rFonts w:asciiTheme="minorHAnsi" w:hAnsiTheme="minorHAnsi" w:cstheme="minorHAnsi"/>
                <w:color w:val="auto"/>
                <w:sz w:val="20"/>
                <w:szCs w:val="20"/>
              </w:rPr>
              <w:t>Year Five and Six staff to attend training in Red Rose approach.</w:t>
            </w:r>
          </w:p>
        </w:tc>
        <w:tc>
          <w:tcPr>
            <w:tcW w:w="372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r>
              <w:rPr>
                <w:rFonts w:asciiTheme="minorHAnsi" w:hAnsiTheme="minorHAnsi" w:cstheme="minorHAnsi"/>
                <w:color w:val="auto"/>
                <w:sz w:val="20"/>
              </w:rPr>
              <w:t>EEF Cognitive Sciences in the Classroom July 2021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1,2,3</w:t>
            </w:r>
          </w:p>
        </w:tc>
      </w:tr>
      <w:tr>
        <w:tc>
          <w:tcPr>
            <w:tcW w:w="1524" w:type="dxa"/>
            <w:vMerge/>
            <w:tcBorders>
              <w:left w:val="single" w:sz="4" w:space="0" w:color="000000"/>
              <w:bottom w:val="single" w:sz="4" w:space="0" w:color="auto"/>
              <w:right w:val="single" w:sz="4" w:space="0" w:color="000000"/>
            </w:tcBorders>
          </w:tcPr>
          <w:p>
            <w:pPr>
              <w:pStyle w:val="TableRow"/>
              <w:ind w:left="0"/>
              <w:rPr>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color w:val="auto"/>
                <w:sz w:val="20"/>
                <w:szCs w:val="20"/>
              </w:rPr>
            </w:pPr>
            <w:r>
              <w:rPr>
                <w:rFonts w:asciiTheme="minorHAnsi" w:hAnsiTheme="minorHAnsi" w:cstheme="minorHAnsi"/>
                <w:sz w:val="20"/>
                <w:szCs w:val="20"/>
              </w:rPr>
              <w:t>All Key Stage 2 staff to embed two arithmetic sessions into the timetable in addition to the 5 Red Rose lessons each week.</w:t>
            </w:r>
          </w:p>
        </w:tc>
        <w:tc>
          <w:tcPr>
            <w:tcW w:w="372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2</w:t>
            </w:r>
          </w:p>
        </w:tc>
      </w:tr>
      <w:tr>
        <w:tc>
          <w:tcPr>
            <w:tcW w:w="1524" w:type="dxa"/>
            <w:vMerge w:val="restart"/>
            <w:tcBorders>
              <w:top w:val="single" w:sz="4" w:space="0" w:color="auto"/>
              <w:left w:val="single" w:sz="4" w:space="0" w:color="000000"/>
              <w:right w:val="single" w:sz="4" w:space="0" w:color="000000"/>
            </w:tcBorders>
          </w:tcPr>
          <w:p>
            <w:pPr>
              <w:pStyle w:val="TableRow"/>
              <w:ind w:left="0"/>
              <w:rPr>
                <w:color w:val="auto"/>
                <w:sz w:val="20"/>
                <w:szCs w:val="20"/>
              </w:rPr>
            </w:pPr>
            <w:r>
              <w:rPr>
                <w:color w:val="auto"/>
                <w:sz w:val="20"/>
                <w:szCs w:val="20"/>
              </w:rPr>
              <w:t>To ensure pupils develop the skills and capacity to regulate emotions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sz w:val="20"/>
                <w:szCs w:val="20"/>
              </w:rPr>
            </w:pPr>
            <w:r>
              <w:rPr>
                <w:rFonts w:asciiTheme="minorHAnsi" w:hAnsiTheme="minorHAnsi" w:cstheme="minorHAnsi"/>
                <w:sz w:val="20"/>
                <w:szCs w:val="20"/>
              </w:rPr>
              <w:t>Build on this model of introducing pupils to the language of Functional Fluency and Affirmations through Steve working with class teachers in work related to specific RSE Units in 23/24.</w:t>
            </w:r>
          </w:p>
        </w:tc>
        <w:tc>
          <w:tcPr>
            <w:tcW w:w="3722"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r>
              <w:rPr>
                <w:rFonts w:asciiTheme="minorHAnsi" w:hAnsiTheme="minorHAnsi" w:cstheme="minorHAnsi"/>
                <w:color w:val="auto"/>
                <w:sz w:val="20"/>
              </w:rPr>
              <w:t>Functional Fluency, Dr S Temple</w:t>
            </w:r>
          </w:p>
          <w:p>
            <w:pPr>
              <w:pStyle w:val="TableRowCentered"/>
              <w:jc w:val="left"/>
              <w:rPr>
                <w:rFonts w:asciiTheme="minorHAnsi" w:hAnsiTheme="minorHAnsi" w:cstheme="minorHAnsi"/>
                <w:color w:val="auto"/>
                <w:sz w:val="20"/>
              </w:rPr>
            </w:pPr>
            <w:r>
              <w:rPr>
                <w:rFonts w:asciiTheme="minorHAnsi" w:hAnsiTheme="minorHAnsi" w:cstheme="minorHAnsi"/>
                <w:color w:val="auto"/>
                <w:sz w:val="20"/>
              </w:rPr>
              <w:t>Know Me to Teach Me, L Bomber 2020</w:t>
            </w:r>
          </w:p>
          <w:p>
            <w:pPr>
              <w:pStyle w:val="TableRowCentered"/>
              <w:jc w:val="left"/>
              <w:rPr>
                <w:rFonts w:asciiTheme="minorHAnsi" w:hAnsiTheme="minorHAnsi" w:cstheme="minorHAnsi"/>
                <w:color w:val="auto"/>
                <w:sz w:val="20"/>
              </w:rPr>
            </w:pPr>
            <w:r>
              <w:rPr>
                <w:rFonts w:asciiTheme="minorHAnsi" w:hAnsiTheme="minorHAnsi" w:cstheme="minorHAnsi"/>
                <w:color w:val="auto"/>
                <w:sz w:val="20"/>
              </w:rPr>
              <w:t>The Body Keeps the Score, Bessel van de Kolk 2015</w:t>
            </w:r>
          </w:p>
          <w:p>
            <w:pPr>
              <w:pStyle w:val="TableRowCentered"/>
              <w:jc w:val="left"/>
              <w:rPr>
                <w:rFonts w:asciiTheme="minorHAnsi" w:hAnsiTheme="minorHAnsi" w:cstheme="minorHAnsi"/>
                <w:color w:val="auto"/>
                <w:sz w:val="20"/>
              </w:rPr>
            </w:pPr>
            <w:r>
              <w:rPr>
                <w:rFonts w:asciiTheme="minorHAnsi" w:hAnsiTheme="minorHAnsi" w:cstheme="minorHAnsi"/>
                <w:color w:val="auto"/>
                <w:sz w:val="20"/>
              </w:rPr>
              <w:t>What happened to You, O Winfrey, Dr B Perry 2022</w:t>
            </w:r>
          </w:p>
        </w:tc>
        <w:tc>
          <w:tcPr>
            <w:tcW w:w="15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4</w:t>
            </w:r>
          </w:p>
        </w:tc>
      </w:tr>
      <w:tr>
        <w:tc>
          <w:tcPr>
            <w:tcW w:w="1524" w:type="dxa"/>
            <w:vMerge/>
            <w:tcBorders>
              <w:left w:val="single" w:sz="4" w:space="0" w:color="000000"/>
              <w:right w:val="single" w:sz="4" w:space="0" w:color="000000"/>
            </w:tcBorders>
          </w:tcPr>
          <w:p>
            <w:pPr>
              <w:pStyle w:val="TableRow"/>
              <w:ind w:left="0"/>
              <w:rPr>
                <w:color w:val="auto"/>
                <w:sz w:val="20"/>
                <w:szCs w:val="20"/>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sz w:val="20"/>
                <w:szCs w:val="20"/>
              </w:rPr>
            </w:pPr>
            <w:r>
              <w:rPr>
                <w:rFonts w:asciiTheme="minorHAnsi" w:hAnsiTheme="minorHAnsi" w:cstheme="minorHAnsi"/>
                <w:sz w:val="20"/>
                <w:szCs w:val="20"/>
              </w:rPr>
              <w:t>Coaching/Surgery sessions with Steve Russell for staff to discuss individual pupils and strategies of support.</w:t>
            </w:r>
          </w:p>
        </w:tc>
        <w:tc>
          <w:tcPr>
            <w:tcW w:w="3722" w:type="dxa"/>
            <w:vMerge/>
            <w:tcBorders>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p>
        </w:tc>
        <w:tc>
          <w:tcPr>
            <w:tcW w:w="1556" w:type="dxa"/>
            <w:vMerge/>
            <w:tcBorders>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tc>
      </w:tr>
      <w:tr>
        <w:tc>
          <w:tcPr>
            <w:tcW w:w="1524" w:type="dxa"/>
            <w:vMerge/>
            <w:tcBorders>
              <w:left w:val="single" w:sz="4" w:space="0" w:color="000000"/>
              <w:right w:val="single" w:sz="4" w:space="0" w:color="000000"/>
            </w:tcBorders>
          </w:tcPr>
          <w:p>
            <w:pPr>
              <w:pStyle w:val="TableRow"/>
              <w:ind w:left="0"/>
              <w:rPr>
                <w:color w:val="auto"/>
                <w:sz w:val="20"/>
                <w:szCs w:val="20"/>
                <w:highlight w:val="yellow"/>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rPr>
                <w:rFonts w:asciiTheme="minorHAnsi" w:hAnsiTheme="minorHAnsi" w:cstheme="minorHAnsi"/>
                <w:sz w:val="20"/>
                <w:szCs w:val="20"/>
              </w:rPr>
            </w:pPr>
            <w:r>
              <w:rPr>
                <w:rFonts w:asciiTheme="minorHAnsi" w:hAnsiTheme="minorHAnsi" w:cstheme="minorHAnsi"/>
                <w:sz w:val="20"/>
                <w:szCs w:val="20"/>
              </w:rPr>
              <w:t>Introduce My Happy Mind throughout the school:</w:t>
            </w:r>
          </w:p>
          <w:p>
            <w:pPr>
              <w:pStyle w:val="ListParagraph"/>
              <w:numPr>
                <w:ilvl w:val="0"/>
                <w:numId w:val="18"/>
              </w:numPr>
              <w:suppressAutoHyphens w:val="0"/>
              <w:autoSpaceDN/>
              <w:spacing w:after="0" w:line="240" w:lineRule="auto"/>
              <w:rPr>
                <w:rFonts w:asciiTheme="minorHAnsi" w:hAnsiTheme="minorHAnsi" w:cstheme="minorHAnsi"/>
                <w:sz w:val="20"/>
                <w:szCs w:val="20"/>
              </w:rPr>
            </w:pPr>
            <w:r>
              <w:rPr>
                <w:rFonts w:asciiTheme="minorHAnsi" w:hAnsiTheme="minorHAnsi" w:cstheme="minorHAnsi"/>
                <w:sz w:val="20"/>
                <w:szCs w:val="20"/>
              </w:rPr>
              <w:t>Introductory training for all staff</w:t>
            </w:r>
          </w:p>
          <w:p>
            <w:pPr>
              <w:pStyle w:val="ListParagraph"/>
              <w:numPr>
                <w:ilvl w:val="0"/>
                <w:numId w:val="18"/>
              </w:numPr>
              <w:suppressAutoHyphens w:val="0"/>
              <w:autoSpaceDN/>
              <w:spacing w:after="0" w:line="240" w:lineRule="auto"/>
              <w:rPr>
                <w:rFonts w:asciiTheme="minorHAnsi" w:hAnsiTheme="minorHAnsi" w:cstheme="minorHAnsi"/>
                <w:sz w:val="20"/>
                <w:szCs w:val="20"/>
              </w:rPr>
            </w:pPr>
            <w:r>
              <w:rPr>
                <w:rFonts w:asciiTheme="minorHAnsi" w:hAnsiTheme="minorHAnsi" w:cstheme="minorHAnsi"/>
                <w:sz w:val="20"/>
                <w:szCs w:val="20"/>
              </w:rPr>
              <w:t>Staff to teach one 20-minute lesson per week over at least 25 teaching weeks</w:t>
            </w:r>
          </w:p>
          <w:p>
            <w:pPr>
              <w:spacing w:after="0"/>
              <w:rPr>
                <w:rFonts w:cstheme="minorHAnsi"/>
                <w:sz w:val="20"/>
                <w:szCs w:val="20"/>
              </w:rPr>
            </w:pPr>
            <w:r>
              <w:rPr>
                <w:rFonts w:asciiTheme="minorHAnsi" w:hAnsiTheme="minorHAnsi" w:cstheme="minorHAnsi"/>
                <w:sz w:val="20"/>
                <w:szCs w:val="20"/>
              </w:rPr>
              <w:t>Mental health leader to undertake pupil interviews to monitor the impact of the scheme.</w:t>
            </w:r>
          </w:p>
        </w:tc>
        <w:tc>
          <w:tcPr>
            <w:tcW w:w="3722" w:type="dxa"/>
            <w:vMerge/>
            <w:tcBorders>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p>
        </w:tc>
        <w:tc>
          <w:tcPr>
            <w:tcW w:w="1556" w:type="dxa"/>
            <w:vMerge/>
            <w:tcBorders>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tc>
      </w:tr>
      <w:tr>
        <w:tc>
          <w:tcPr>
            <w:tcW w:w="1524" w:type="dxa"/>
            <w:vMerge/>
            <w:tcBorders>
              <w:left w:val="single" w:sz="4" w:space="0" w:color="000000"/>
              <w:bottom w:val="single" w:sz="12" w:space="0" w:color="auto"/>
              <w:right w:val="single" w:sz="4" w:space="0" w:color="000000"/>
            </w:tcBorders>
          </w:tcPr>
          <w:p>
            <w:pPr>
              <w:pStyle w:val="TableRow"/>
              <w:ind w:left="0"/>
              <w:rPr>
                <w:color w:val="auto"/>
                <w:sz w:val="20"/>
                <w:szCs w:val="20"/>
                <w:highlight w:val="yellow"/>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sz w:val="20"/>
                <w:szCs w:val="20"/>
                <w:highlight w:val="yellow"/>
              </w:rPr>
            </w:pPr>
            <w:r>
              <w:rPr>
                <w:rFonts w:asciiTheme="minorHAnsi" w:hAnsiTheme="minorHAnsi" w:cstheme="minorHAnsi"/>
                <w:sz w:val="20"/>
                <w:szCs w:val="20"/>
              </w:rPr>
              <w:t>Arrange ECT RE, P4C, Functional  Fluency and Behaviour Wall training for the new ECTs in September.</w:t>
            </w:r>
          </w:p>
        </w:tc>
        <w:tc>
          <w:tcPr>
            <w:tcW w:w="37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p>
        </w:tc>
        <w:tc>
          <w:tcPr>
            <w:tcW w:w="155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tc>
      </w:tr>
    </w:tbl>
    <w:p>
      <w:pPr>
        <w:keepNext/>
        <w:spacing w:after="60"/>
        <w:outlineLvl w:val="1"/>
      </w:pPr>
    </w:p>
    <w:p>
      <w:pPr>
        <w:rPr>
          <w:b/>
          <w:bCs/>
          <w:color w:val="104F75"/>
          <w:sz w:val="28"/>
          <w:szCs w:val="28"/>
        </w:rPr>
      </w:pPr>
      <w:r>
        <w:rPr>
          <w:b/>
          <w:bCs/>
          <w:color w:val="104F75"/>
          <w:sz w:val="28"/>
          <w:szCs w:val="28"/>
        </w:rPr>
        <w:br w:type="page"/>
      </w:r>
    </w:p>
    <w:p>
      <w:pPr>
        <w:rPr>
          <w:b/>
          <w:bCs/>
          <w:color w:val="104F75"/>
          <w:sz w:val="28"/>
          <w:szCs w:val="28"/>
        </w:rPr>
      </w:pPr>
      <w:r>
        <w:rPr>
          <w:b/>
          <w:bCs/>
          <w:color w:val="104F75"/>
          <w:sz w:val="28"/>
          <w:szCs w:val="28"/>
        </w:rPr>
        <w:lastRenderedPageBreak/>
        <w:t xml:space="preserve">Targeted academic support (for example, tutoring, one-to-one support structured interventions) </w:t>
      </w:r>
    </w:p>
    <w:p>
      <w:r>
        <w:t>Budgeted cost: £ 26,507</w:t>
      </w:r>
    </w:p>
    <w:tbl>
      <w:tblPr>
        <w:tblW w:w="5153" w:type="pct"/>
        <w:tblLayout w:type="fixed"/>
        <w:tblCellMar>
          <w:left w:w="10" w:type="dxa"/>
          <w:right w:w="10" w:type="dxa"/>
        </w:tblCellMar>
        <w:tblLook w:val="04A0" w:firstRow="1" w:lastRow="0" w:firstColumn="1" w:lastColumn="0" w:noHBand="0" w:noVBand="1"/>
      </w:tblPr>
      <w:tblGrid>
        <w:gridCol w:w="1298"/>
        <w:gridCol w:w="3800"/>
        <w:gridCol w:w="3119"/>
        <w:gridCol w:w="1559"/>
      </w:tblGrid>
      <w:tr>
        <w:tc>
          <w:tcPr>
            <w:tcW w:w="1298" w:type="dxa"/>
            <w:tcBorders>
              <w:top w:val="single" w:sz="4" w:space="0" w:color="000000"/>
              <w:left w:val="single" w:sz="4" w:space="0" w:color="000000"/>
              <w:bottom w:val="single" w:sz="4" w:space="0" w:color="000000"/>
              <w:right w:val="single" w:sz="4" w:space="0" w:color="000000"/>
            </w:tcBorders>
            <w:shd w:val="clear" w:color="auto" w:fill="D8E2E9"/>
          </w:tcPr>
          <w:p>
            <w:pPr>
              <w:pStyle w:val="TableHeader"/>
              <w:jc w:val="left"/>
            </w:pPr>
            <w:r>
              <w:t>Focus</w:t>
            </w:r>
          </w:p>
        </w:tc>
        <w:tc>
          <w:tcPr>
            <w:tcW w:w="38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31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1298" w:type="dxa"/>
            <w:vMerge w:val="restart"/>
            <w:tcBorders>
              <w:top w:val="single" w:sz="4" w:space="0" w:color="000000"/>
              <w:left w:val="single" w:sz="4" w:space="0" w:color="000000"/>
              <w:right w:val="single" w:sz="4" w:space="0" w:color="000000"/>
            </w:tcBorders>
          </w:tcPr>
          <w:p>
            <w:pPr>
              <w:pStyle w:val="TableRow"/>
              <w:rPr>
                <w:i/>
                <w:iCs/>
                <w:color w:val="auto"/>
                <w:sz w:val="20"/>
                <w:szCs w:val="20"/>
              </w:rPr>
            </w:pPr>
            <w:r>
              <w:rPr>
                <w:color w:val="auto"/>
                <w:sz w:val="20"/>
                <w:szCs w:val="20"/>
              </w:rPr>
              <w:t>Ensure the teaching of word recognition is consistent and has a high priority to develop fluent readers.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ind w:left="0"/>
              <w:rPr>
                <w:rFonts w:asciiTheme="minorHAnsi" w:hAnsiTheme="minorHAnsi" w:cstheme="minorHAnsi"/>
                <w:color w:val="auto"/>
                <w:sz w:val="20"/>
                <w:szCs w:val="20"/>
              </w:rPr>
            </w:pPr>
            <w:r>
              <w:rPr>
                <w:rFonts w:asciiTheme="minorHAnsi" w:hAnsiTheme="minorHAnsi" w:cstheme="minorHAnsi"/>
                <w:color w:val="auto"/>
                <w:sz w:val="20"/>
                <w:szCs w:val="20"/>
              </w:rPr>
              <w:t>Keep up interventions to be implemented for pupils at risk of not remaining on track. Ensure that the targeted grapheme/phoneme correspondence are targeted throughout the day but pupils wearing grapheme stickers/badges.</w:t>
            </w:r>
          </w:p>
          <w:p>
            <w:pPr>
              <w:pStyle w:val="TableRow"/>
              <w:ind w:left="0"/>
              <w:rPr>
                <w:rFonts w:asciiTheme="minorHAnsi" w:hAnsiTheme="minorHAnsi" w:cstheme="minorHAnsi"/>
                <w:color w:val="auto"/>
                <w:sz w:val="20"/>
                <w:szCs w:val="20"/>
              </w:rPr>
            </w:pPr>
            <w:r>
              <w:rPr>
                <w:rFonts w:asciiTheme="minorHAnsi" w:hAnsiTheme="minorHAnsi" w:cstheme="minorHAnsi"/>
                <w:color w:val="auto"/>
                <w:sz w:val="20"/>
                <w:szCs w:val="20"/>
              </w:rPr>
              <w:t>Catch Up interventions for pupils who are identified as falling behind.</w:t>
            </w:r>
          </w:p>
          <w:p>
            <w:pPr>
              <w:pStyle w:val="TableRow"/>
              <w:rPr>
                <w:color w:val="auto"/>
                <w:sz w:val="20"/>
                <w:szCs w:val="20"/>
              </w:rPr>
            </w:pPr>
            <w:r>
              <w:rPr>
                <w:rFonts w:asciiTheme="minorHAnsi" w:hAnsiTheme="minorHAnsi" w:cstheme="minorHAnsi"/>
                <w:color w:val="auto"/>
                <w:sz w:val="20"/>
                <w:szCs w:val="20"/>
              </w:rPr>
              <w:t>Half termly meetings for EYFS and Year One teachers with the Early Reading Lead to discuss progress and actions for any pupils not on track.</w:t>
            </w:r>
          </w:p>
        </w:tc>
        <w:tc>
          <w:tcPr>
            <w:tcW w:w="31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r>
              <w:rPr>
                <w:rFonts w:asciiTheme="minorHAnsi" w:hAnsiTheme="minorHAnsi" w:cstheme="minorHAnsi"/>
                <w:color w:val="auto"/>
                <w:sz w:val="20"/>
              </w:rPr>
              <w:t>EEF Cognitive Sciences in the Classroom July 2021</w:t>
            </w:r>
          </w:p>
          <w:p>
            <w:pPr>
              <w:pStyle w:val="TableRowCentered"/>
              <w:jc w:val="left"/>
              <w:rPr>
                <w:rFonts w:asciiTheme="minorHAnsi" w:hAnsiTheme="minorHAnsi" w:cstheme="minorHAnsi"/>
                <w:color w:val="auto"/>
                <w:sz w:val="20"/>
              </w:rPr>
            </w:pPr>
            <w:r>
              <w:rPr>
                <w:rFonts w:asciiTheme="minorHAnsi" w:hAnsiTheme="minorHAnsi" w:cstheme="minorHAnsi"/>
                <w:color w:val="auto"/>
                <w:sz w:val="20"/>
              </w:rPr>
              <w:t>Independent Review of the Teaching of Early Reading Jim Rose 2006</w:t>
            </w:r>
          </w:p>
          <w:p>
            <w:pPr>
              <w:pStyle w:val="TableRowCentered"/>
              <w:jc w:val="left"/>
              <w:rPr>
                <w:rFonts w:asciiTheme="minorHAnsi" w:hAnsiTheme="minorHAnsi" w:cstheme="minorHAnsi"/>
                <w:color w:val="auto"/>
                <w:sz w:val="20"/>
              </w:rPr>
            </w:pPr>
            <w:r>
              <w:rPr>
                <w:rFonts w:asciiTheme="minorHAnsi" w:hAnsiTheme="minorHAnsi" w:cstheme="minorHAnsi"/>
                <w:color w:val="auto"/>
                <w:sz w:val="20"/>
              </w:rPr>
              <w:t>The Reading Framework Jan 2022</w:t>
            </w:r>
          </w:p>
          <w:p>
            <w:pPr>
              <w:spacing w:after="0"/>
              <w:rPr>
                <w:rFonts w:cs="Arial"/>
                <w:sz w:val="20"/>
                <w:szCs w:val="20"/>
              </w:rPr>
            </w:pPr>
            <w:hyperlink r:id="rId16" w:history="1">
              <w:r>
                <w:rPr>
                  <w:rFonts w:asciiTheme="minorHAnsi" w:eastAsia="MS Mincho" w:hAnsiTheme="minorHAnsi" w:cstheme="minorHAnsi"/>
                  <w:color w:val="0000FF"/>
                  <w:sz w:val="20"/>
                  <w:u w:val="single"/>
                  <w:lang w:eastAsia="en-US"/>
                </w:rPr>
                <w:t>Literacy | EEF (educationendowmentfoundation.org.uk)</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2,3</w:t>
            </w:r>
          </w:p>
        </w:tc>
      </w:tr>
      <w:tr>
        <w:tc>
          <w:tcPr>
            <w:tcW w:w="1298" w:type="dxa"/>
            <w:vMerge/>
            <w:tcBorders>
              <w:left w:val="single" w:sz="4" w:space="0" w:color="000000"/>
              <w:right w:val="single" w:sz="4" w:space="0" w:color="000000"/>
            </w:tcBorders>
          </w:tcPr>
          <w:p>
            <w:pPr>
              <w:pStyle w:val="TableRow"/>
              <w:rPr>
                <w:color w:val="auto"/>
                <w:sz w:val="20"/>
                <w:szCs w:val="20"/>
                <w:highlight w:val="yellow"/>
              </w:rPr>
            </w:pP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color w:val="auto"/>
                <w:sz w:val="20"/>
                <w:szCs w:val="20"/>
              </w:rPr>
            </w:pPr>
            <w:r>
              <w:rPr>
                <w:rFonts w:asciiTheme="minorHAnsi" w:hAnsiTheme="minorHAnsi" w:cstheme="minorHAnsi"/>
                <w:color w:val="auto"/>
                <w:sz w:val="20"/>
                <w:szCs w:val="20"/>
              </w:rPr>
              <w:t>Half termly meetings for Year 2-3 teachers with the Developing Literacy Lead to discuss progress and actions for any pupils not on track.</w:t>
            </w:r>
          </w:p>
        </w:tc>
        <w:tc>
          <w:tcPr>
            <w:tcW w:w="3119" w:type="dxa"/>
            <w:vMerge/>
            <w:tcBorders>
              <w:left w:val="single" w:sz="4" w:space="0" w:color="000000"/>
              <w:right w:val="single" w:sz="4" w:space="0" w:color="000000"/>
            </w:tcBorders>
            <w:shd w:val="clear" w:color="auto" w:fill="auto"/>
            <w:tcMar>
              <w:top w:w="0" w:type="dxa"/>
              <w:left w:w="108" w:type="dxa"/>
              <w:bottom w:w="0" w:type="dxa"/>
              <w:right w:w="108" w:type="dxa"/>
            </w:tcMar>
          </w:tcPr>
          <w:p>
            <w:pPr>
              <w:spacing w:after="0"/>
              <w:rPr>
                <w:rFonts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2,3</w:t>
            </w:r>
          </w:p>
        </w:tc>
      </w:tr>
      <w:tr>
        <w:tc>
          <w:tcPr>
            <w:tcW w:w="1298" w:type="dxa"/>
            <w:vMerge/>
            <w:tcBorders>
              <w:left w:val="single" w:sz="4" w:space="0" w:color="000000"/>
              <w:right w:val="single" w:sz="4" w:space="0" w:color="000000"/>
            </w:tcBorders>
          </w:tcPr>
          <w:p>
            <w:pPr>
              <w:pStyle w:val="TableRow"/>
              <w:rPr>
                <w:color w:val="auto"/>
                <w:sz w:val="20"/>
                <w:szCs w:val="20"/>
                <w:highlight w:val="yellow"/>
              </w:rPr>
            </w:pP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color w:val="auto"/>
                <w:sz w:val="20"/>
                <w:szCs w:val="20"/>
              </w:rPr>
            </w:pPr>
            <w:r>
              <w:rPr>
                <w:rFonts w:asciiTheme="minorHAnsi" w:hAnsiTheme="minorHAnsi" w:cstheme="minorHAnsi"/>
                <w:color w:val="auto"/>
                <w:sz w:val="20"/>
                <w:szCs w:val="20"/>
              </w:rPr>
              <w:t>Half termly meetings for Year 4-6 teachers with the KS2 English Lead to discuss progress and actions for any pupils not on track.</w:t>
            </w:r>
          </w:p>
        </w:tc>
        <w:tc>
          <w:tcPr>
            <w:tcW w:w="31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rPr>
                <w:rFonts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2,3</w:t>
            </w:r>
          </w:p>
        </w:tc>
      </w:tr>
      <w:tr>
        <w:tc>
          <w:tcPr>
            <w:tcW w:w="1298" w:type="dxa"/>
            <w:vMerge/>
            <w:tcBorders>
              <w:left w:val="single" w:sz="4" w:space="0" w:color="000000"/>
              <w:bottom w:val="single" w:sz="4" w:space="0" w:color="000000"/>
              <w:right w:val="single" w:sz="4" w:space="0" w:color="000000"/>
            </w:tcBorders>
          </w:tcPr>
          <w:p>
            <w:pPr>
              <w:pStyle w:val="TableRow"/>
              <w:rPr>
                <w:color w:val="auto"/>
                <w:sz w:val="20"/>
                <w:szCs w:val="20"/>
                <w:highlight w:val="yellow"/>
              </w:rPr>
            </w:pP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color w:val="auto"/>
                <w:sz w:val="20"/>
                <w:szCs w:val="20"/>
              </w:rPr>
            </w:pPr>
            <w:r>
              <w:rPr>
                <w:rFonts w:asciiTheme="minorHAnsi" w:hAnsiTheme="minorHAnsi" w:cstheme="minorHAnsi"/>
                <w:color w:val="auto"/>
                <w:sz w:val="20"/>
                <w:szCs w:val="20"/>
              </w:rPr>
              <w:t>Implement School-Led Tuition to address gaps in learning for particular pupils.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rPr>
                <w:rFonts w:cs="Arial"/>
                <w:sz w:val="20"/>
                <w:szCs w:val="20"/>
              </w:rPr>
            </w:pPr>
            <w:hyperlink r:id="rId17" w:history="1">
              <w:r>
                <w:rPr>
                  <w:rFonts w:asciiTheme="minorHAnsi" w:eastAsia="MS Mincho" w:hAnsiTheme="minorHAnsi" w:cstheme="minorHAnsi"/>
                  <w:color w:val="0000FF"/>
                  <w:sz w:val="20"/>
                  <w:u w:val="single"/>
                  <w:lang w:eastAsia="en-US"/>
                </w:rPr>
                <w:t>One to one tuition | EEF (educationendowmentfoundation.org.uk)</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1,2,3</w:t>
            </w:r>
          </w:p>
        </w:tc>
      </w:tr>
      <w:tr>
        <w:tc>
          <w:tcPr>
            <w:tcW w:w="1298" w:type="dxa"/>
            <w:vMerge w:val="restart"/>
            <w:tcBorders>
              <w:top w:val="single" w:sz="4" w:space="0" w:color="000000"/>
              <w:left w:val="single" w:sz="4" w:space="0" w:color="000000"/>
              <w:right w:val="single" w:sz="4" w:space="0" w:color="000000"/>
            </w:tcBorders>
          </w:tcPr>
          <w:p>
            <w:pPr>
              <w:pStyle w:val="TableRow"/>
              <w:rPr>
                <w:i/>
                <w:color w:val="auto"/>
                <w:sz w:val="20"/>
                <w:szCs w:val="20"/>
              </w:rPr>
            </w:pPr>
            <w:r>
              <w:rPr>
                <w:color w:val="auto"/>
                <w:sz w:val="20"/>
                <w:szCs w:val="20"/>
              </w:rPr>
              <w:t>To embed ‘Teaching for Mastery’ in mathematics</w:t>
            </w: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color w:val="auto"/>
                <w:sz w:val="20"/>
                <w:szCs w:val="20"/>
              </w:rPr>
            </w:pPr>
            <w:r>
              <w:rPr>
                <w:rFonts w:asciiTheme="minorHAnsi" w:hAnsiTheme="minorHAnsi" w:cstheme="minorHAnsi"/>
                <w:sz w:val="20"/>
                <w:szCs w:val="20"/>
              </w:rPr>
              <w:t>Implement School-Led Tuition for appropriate pupils.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both"/>
              <w:rPr>
                <w:color w:val="auto"/>
                <w:sz w:val="20"/>
              </w:rPr>
            </w:pPr>
            <w:hyperlink r:id="rId18" w:history="1">
              <w:r>
                <w:rPr>
                  <w:rFonts w:asciiTheme="minorHAnsi" w:eastAsia="MS Mincho" w:hAnsiTheme="minorHAnsi" w:cstheme="minorHAnsi"/>
                  <w:color w:val="0000FF"/>
                  <w:sz w:val="20"/>
                  <w:u w:val="single"/>
                  <w:lang w:eastAsia="en-US"/>
                </w:rPr>
                <w:t>One to one tuition | EEF (educationendowmentfoundation.org.uk)</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1,2,3</w:t>
            </w:r>
          </w:p>
        </w:tc>
      </w:tr>
      <w:tr>
        <w:tc>
          <w:tcPr>
            <w:tcW w:w="1298" w:type="dxa"/>
            <w:vMerge/>
            <w:tcBorders>
              <w:left w:val="single" w:sz="4" w:space="0" w:color="000000"/>
              <w:right w:val="single" w:sz="4" w:space="0" w:color="000000"/>
            </w:tcBorders>
          </w:tcPr>
          <w:p>
            <w:pPr>
              <w:pStyle w:val="TableRow"/>
              <w:rPr>
                <w:color w:val="auto"/>
                <w:sz w:val="20"/>
                <w:szCs w:val="20"/>
              </w:rPr>
            </w:pP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color w:val="auto"/>
                <w:sz w:val="20"/>
                <w:szCs w:val="20"/>
              </w:rPr>
            </w:pPr>
            <w:r>
              <w:rPr>
                <w:rFonts w:asciiTheme="minorHAnsi" w:hAnsiTheme="minorHAnsi" w:cstheme="minorHAnsi"/>
                <w:color w:val="auto"/>
                <w:sz w:val="20"/>
                <w:szCs w:val="20"/>
              </w:rPr>
              <w:t>Use SATs Companion to target gaps/inconsistency in learning through home learning for pupils in Year 5 and 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both"/>
              <w:rPr>
                <w:color w:val="auto"/>
                <w:sz w:val="20"/>
              </w:rPr>
            </w:pPr>
            <w:r>
              <w:rPr>
                <w:rFonts w:asciiTheme="minorHAnsi" w:hAnsiTheme="minorHAnsi" w:cstheme="minorHAnsi"/>
                <w:color w:val="auto"/>
                <w:sz w:val="20"/>
              </w:rPr>
              <w:t>Ways to Reduce Workload in Your School, updated March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2</w:t>
            </w:r>
          </w:p>
        </w:tc>
      </w:tr>
      <w:tr>
        <w:tc>
          <w:tcPr>
            <w:tcW w:w="1298" w:type="dxa"/>
            <w:vMerge/>
            <w:tcBorders>
              <w:left w:val="single" w:sz="4" w:space="0" w:color="000000"/>
              <w:right w:val="single" w:sz="4" w:space="0" w:color="000000"/>
            </w:tcBorders>
          </w:tcPr>
          <w:p>
            <w:pPr>
              <w:pStyle w:val="TableRow"/>
              <w:rPr>
                <w:color w:val="auto"/>
                <w:sz w:val="20"/>
                <w:szCs w:val="20"/>
              </w:rPr>
            </w:pP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color w:val="auto"/>
                <w:sz w:val="20"/>
                <w:szCs w:val="20"/>
              </w:rPr>
            </w:pPr>
            <w:r>
              <w:rPr>
                <w:rFonts w:asciiTheme="minorHAnsi" w:hAnsiTheme="minorHAnsi" w:cstheme="minorHAnsi"/>
                <w:color w:val="auto"/>
                <w:sz w:val="20"/>
                <w:szCs w:val="20"/>
              </w:rPr>
              <w:t>Use Times Table Rock Stars to embed table facts for pupils throughout KS2.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both"/>
              <w:rPr>
                <w:color w:val="auto"/>
                <w:sz w:val="20"/>
              </w:rPr>
            </w:pPr>
            <w:r>
              <w:rPr>
                <w:rFonts w:asciiTheme="minorHAnsi" w:hAnsiTheme="minorHAnsi" w:cstheme="minorHAnsi"/>
                <w:color w:val="auto"/>
                <w:sz w:val="20"/>
              </w:rPr>
              <w:t>EEF Cognitive Sciences in the Classroom July 2021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2</w:t>
            </w:r>
          </w:p>
        </w:tc>
      </w:tr>
      <w:tr>
        <w:tc>
          <w:tcPr>
            <w:tcW w:w="1298" w:type="dxa"/>
            <w:vMerge/>
            <w:tcBorders>
              <w:left w:val="single" w:sz="4" w:space="0" w:color="000000"/>
              <w:bottom w:val="single" w:sz="4" w:space="0" w:color="000000"/>
              <w:right w:val="single" w:sz="4" w:space="0" w:color="000000"/>
            </w:tcBorders>
          </w:tcPr>
          <w:p>
            <w:pPr>
              <w:pStyle w:val="TableRow"/>
              <w:rPr>
                <w:color w:val="auto"/>
                <w:sz w:val="20"/>
                <w:szCs w:val="20"/>
              </w:rPr>
            </w:pPr>
          </w:p>
        </w:tc>
        <w:tc>
          <w:tcPr>
            <w:tcW w:w="3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color w:val="auto"/>
                <w:sz w:val="20"/>
                <w:szCs w:val="20"/>
              </w:rPr>
            </w:pPr>
            <w:r>
              <w:rPr>
                <w:rFonts w:asciiTheme="minorHAnsi" w:hAnsiTheme="minorHAnsi" w:cstheme="minorHAnsi"/>
                <w:color w:val="auto"/>
                <w:sz w:val="20"/>
                <w:szCs w:val="20"/>
              </w:rPr>
              <w:t xml:space="preserve">Plan interventions for pupils not on track to embed the expected table facts for their age group ( two </w:t>
            </w:r>
            <w:proofErr w:type="gramStart"/>
            <w:r>
              <w:rPr>
                <w:rFonts w:asciiTheme="minorHAnsi" w:hAnsiTheme="minorHAnsi" w:cstheme="minorHAnsi"/>
                <w:color w:val="auto"/>
                <w:sz w:val="20"/>
                <w:szCs w:val="20"/>
              </w:rPr>
              <w:t>45 minute</w:t>
            </w:r>
            <w:proofErr w:type="gramEnd"/>
            <w:r>
              <w:rPr>
                <w:rFonts w:asciiTheme="minorHAnsi" w:hAnsiTheme="minorHAnsi" w:cstheme="minorHAnsi"/>
                <w:color w:val="auto"/>
                <w:sz w:val="20"/>
                <w:szCs w:val="20"/>
              </w:rPr>
              <w:t xml:space="preserve"> sessions per week) where one child works on building working memory for half the session and the other uses apps such a Times Table </w:t>
            </w:r>
            <w:proofErr w:type="spellStart"/>
            <w:r>
              <w:rPr>
                <w:rFonts w:asciiTheme="minorHAnsi" w:hAnsiTheme="minorHAnsi" w:cstheme="minorHAnsi"/>
                <w:color w:val="auto"/>
                <w:sz w:val="20"/>
                <w:szCs w:val="20"/>
              </w:rPr>
              <w:t>Rockstars</w:t>
            </w:r>
            <w:proofErr w:type="spellEnd"/>
            <w:r>
              <w:rPr>
                <w:rFonts w:asciiTheme="minorHAnsi" w:hAnsiTheme="minorHAnsi" w:cstheme="minorHAnsi"/>
                <w:color w:val="auto"/>
                <w:sz w:val="20"/>
                <w:szCs w:val="20"/>
              </w:rPr>
              <w:t xml:space="preserve"> to build knowledge of number facts and then swap for the other half of the session.</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both"/>
              <w:rPr>
                <w:color w:val="auto"/>
                <w:sz w:val="20"/>
              </w:rPr>
            </w:pPr>
            <w:hyperlink r:id="rId19" w:history="1">
              <w:r>
                <w:rPr>
                  <w:rFonts w:asciiTheme="minorHAnsi" w:eastAsia="MS Mincho" w:hAnsiTheme="minorHAnsi" w:cstheme="minorHAnsi"/>
                  <w:color w:val="0000FF"/>
                  <w:sz w:val="20"/>
                  <w:u w:val="single"/>
                  <w:lang w:eastAsia="en-US"/>
                </w:rPr>
                <w:t>Improving Working Memory | EEF (educationendowmentfoundation.org.uk)</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p>
          <w:p>
            <w:pPr>
              <w:pStyle w:val="TableRowCentered"/>
              <w:jc w:val="left"/>
              <w:rPr>
                <w:color w:val="auto"/>
                <w:sz w:val="20"/>
              </w:rPr>
            </w:pPr>
            <w:r>
              <w:rPr>
                <w:color w:val="auto"/>
                <w:sz w:val="20"/>
              </w:rPr>
              <w:t>2,3</w:t>
            </w:r>
          </w:p>
        </w:tc>
      </w:tr>
    </w:tbl>
    <w:p>
      <w:pPr>
        <w:spacing w:after="0"/>
        <w:rPr>
          <w:b/>
          <w:color w:val="104F75"/>
          <w:sz w:val="28"/>
          <w:szCs w:val="28"/>
          <w:highlight w:val="yellow"/>
        </w:rPr>
      </w:pPr>
    </w:p>
    <w:p>
      <w:pPr>
        <w:rPr>
          <w:b/>
          <w:color w:val="104F75"/>
          <w:sz w:val="28"/>
          <w:szCs w:val="28"/>
        </w:rPr>
      </w:pPr>
      <w:r>
        <w:rPr>
          <w:b/>
          <w:color w:val="104F75"/>
          <w:sz w:val="28"/>
          <w:szCs w:val="28"/>
        </w:rPr>
        <w:lastRenderedPageBreak/>
        <w:t>Wider strategies (for example, related to attendance, behaviour, wellbeing)</w:t>
      </w:r>
    </w:p>
    <w:p>
      <w:pPr>
        <w:spacing w:before="240" w:after="120"/>
      </w:pPr>
      <w:r>
        <w:t xml:space="preserve">Budgeted cost: £ </w:t>
      </w:r>
      <w:r>
        <w:rPr>
          <w:i/>
          <w:iCs/>
        </w:rPr>
        <w:t>43,414</w:t>
      </w:r>
    </w:p>
    <w:tbl>
      <w:tblPr>
        <w:tblW w:w="5153" w:type="pct"/>
        <w:tblCellMar>
          <w:left w:w="10" w:type="dxa"/>
          <w:right w:w="10" w:type="dxa"/>
        </w:tblCellMar>
        <w:tblLook w:val="04A0" w:firstRow="1" w:lastRow="0" w:firstColumn="1" w:lastColumn="0" w:noHBand="0" w:noVBand="1"/>
      </w:tblPr>
      <w:tblGrid>
        <w:gridCol w:w="1555"/>
        <w:gridCol w:w="3543"/>
        <w:gridCol w:w="3119"/>
        <w:gridCol w:w="1559"/>
      </w:tblGrid>
      <w:tr>
        <w:tc>
          <w:tcPr>
            <w:tcW w:w="1555" w:type="dxa"/>
            <w:tcBorders>
              <w:top w:val="single" w:sz="4" w:space="0" w:color="000000"/>
              <w:left w:val="single" w:sz="4" w:space="0" w:color="000000"/>
              <w:bottom w:val="single" w:sz="4" w:space="0" w:color="000000"/>
              <w:right w:val="single" w:sz="4" w:space="0" w:color="000000"/>
            </w:tcBorders>
            <w:shd w:val="clear" w:color="auto" w:fill="D8E2E9"/>
          </w:tcPr>
          <w:p>
            <w:pPr>
              <w:pStyle w:val="TableHeader"/>
              <w:jc w:val="left"/>
            </w:pPr>
            <w:r>
              <w:t>Focus</w:t>
            </w:r>
          </w:p>
        </w:tc>
        <w:tc>
          <w:tcPr>
            <w:tcW w:w="3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31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1555" w:type="dxa"/>
            <w:vMerge w:val="restart"/>
            <w:tcBorders>
              <w:top w:val="single" w:sz="4" w:space="0" w:color="000000"/>
              <w:left w:val="single" w:sz="4" w:space="0" w:color="000000"/>
              <w:right w:val="single" w:sz="4" w:space="0" w:color="000000"/>
            </w:tcBorders>
          </w:tcPr>
          <w:p>
            <w:pPr>
              <w:pStyle w:val="TableRow"/>
              <w:spacing w:before="0" w:after="0"/>
              <w:rPr>
                <w:rStyle w:val="PlaceholderText"/>
                <w:rFonts w:cs="Arial"/>
                <w:color w:val="auto"/>
                <w:sz w:val="20"/>
                <w:szCs w:val="20"/>
              </w:rPr>
            </w:pPr>
            <w:r>
              <w:rPr>
                <w:color w:val="auto"/>
                <w:sz w:val="20"/>
                <w:szCs w:val="20"/>
              </w:rPr>
              <w:t>Ensure the teaching of word recognition is consistent and has a high priority to develop fluent readers.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rPr>
                <w:rFonts w:asciiTheme="minorHAnsi" w:hAnsiTheme="minorHAnsi" w:cstheme="minorHAnsi"/>
                <w:sz w:val="20"/>
                <w:szCs w:val="20"/>
              </w:rPr>
            </w:pPr>
            <w:r>
              <w:rPr>
                <w:rFonts w:asciiTheme="minorHAnsi" w:hAnsiTheme="minorHAnsi" w:cstheme="minorHAnsi"/>
                <w:sz w:val="20"/>
                <w:szCs w:val="20"/>
              </w:rPr>
              <w:t>Extend the Reading Reward Scheme to include EYFS / KS1 involving children collecting:</w:t>
            </w:r>
          </w:p>
          <w:p>
            <w:pPr>
              <w:pStyle w:val="ListParagraph"/>
              <w:numPr>
                <w:ilvl w:val="0"/>
                <w:numId w:val="19"/>
              </w:numPr>
              <w:suppressAutoHyphens w:val="0"/>
              <w:autoSpaceDN/>
              <w:spacing w:after="0" w:line="240" w:lineRule="auto"/>
              <w:rPr>
                <w:rFonts w:asciiTheme="minorHAnsi" w:hAnsiTheme="minorHAnsi" w:cstheme="minorHAnsi"/>
                <w:sz w:val="20"/>
                <w:szCs w:val="20"/>
              </w:rPr>
            </w:pPr>
            <w:r>
              <w:rPr>
                <w:rFonts w:asciiTheme="minorHAnsi" w:hAnsiTheme="minorHAnsi" w:cstheme="minorHAnsi"/>
                <w:sz w:val="20"/>
                <w:szCs w:val="20"/>
              </w:rPr>
              <w:t>Stickers on a reading bookmark with a related display in class</w:t>
            </w:r>
          </w:p>
          <w:p>
            <w:pPr>
              <w:pStyle w:val="ListParagraph"/>
              <w:numPr>
                <w:ilvl w:val="0"/>
                <w:numId w:val="19"/>
              </w:numPr>
              <w:suppressAutoHyphens w:val="0"/>
              <w:autoSpaceDN/>
              <w:spacing w:after="0" w:line="240" w:lineRule="auto"/>
              <w:rPr>
                <w:rFonts w:asciiTheme="minorHAnsi" w:hAnsiTheme="minorHAnsi" w:cstheme="minorHAnsi"/>
                <w:sz w:val="20"/>
                <w:szCs w:val="20"/>
              </w:rPr>
            </w:pPr>
            <w:r>
              <w:rPr>
                <w:rFonts w:asciiTheme="minorHAnsi" w:hAnsiTheme="minorHAnsi" w:cstheme="minorHAnsi"/>
                <w:sz w:val="20"/>
                <w:szCs w:val="20"/>
              </w:rPr>
              <w:t>Leading to a Reading badge.</w:t>
            </w:r>
          </w:p>
          <w:p>
            <w:pPr>
              <w:spacing w:after="0"/>
              <w:rPr>
                <w:rFonts w:asciiTheme="minorHAnsi" w:hAnsiTheme="minorHAnsi" w:cstheme="minorHAnsi"/>
                <w:sz w:val="20"/>
                <w:szCs w:val="20"/>
              </w:rPr>
            </w:pPr>
            <w:r>
              <w:rPr>
                <w:rFonts w:asciiTheme="minorHAnsi" w:hAnsiTheme="minorHAnsi" w:cstheme="minorHAnsi"/>
                <w:sz w:val="20"/>
                <w:szCs w:val="20"/>
              </w:rPr>
              <w:t>Deputy Headteacher to organise ‘Wild Reading Wednesday’ sessions for a reader of the week from each class.</w:t>
            </w:r>
          </w:p>
        </w:tc>
        <w:tc>
          <w:tcPr>
            <w:tcW w:w="31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pStyle w:val="TableRowCentered"/>
              <w:spacing w:before="0" w:after="0"/>
              <w:jc w:val="left"/>
              <w:rPr>
                <w:rFonts w:asciiTheme="minorHAnsi" w:hAnsiTheme="minorHAnsi" w:cstheme="minorHAnsi"/>
                <w:color w:val="auto"/>
                <w:sz w:val="20"/>
              </w:rPr>
            </w:pPr>
            <w:r>
              <w:rPr>
                <w:rFonts w:asciiTheme="minorHAnsi" w:hAnsiTheme="minorHAnsi" w:cstheme="minorHAnsi"/>
                <w:color w:val="auto"/>
                <w:sz w:val="20"/>
              </w:rPr>
              <w:t>EEF Toolkit – phonics</w:t>
            </w:r>
          </w:p>
          <w:p>
            <w:pPr>
              <w:pStyle w:val="TableRowCentered"/>
              <w:spacing w:before="0" w:after="0"/>
              <w:jc w:val="left"/>
              <w:rPr>
                <w:rFonts w:asciiTheme="minorHAnsi" w:hAnsiTheme="minorHAnsi" w:cstheme="minorHAnsi"/>
                <w:color w:val="auto"/>
                <w:sz w:val="20"/>
              </w:rPr>
            </w:pPr>
            <w:r>
              <w:rPr>
                <w:rFonts w:asciiTheme="minorHAnsi" w:hAnsiTheme="minorHAnsi" w:cstheme="minorHAnsi"/>
                <w:color w:val="auto"/>
                <w:sz w:val="20"/>
              </w:rPr>
              <w:t>The reading Framework Jan 2022</w:t>
            </w:r>
          </w:p>
          <w:p>
            <w:pPr>
              <w:pStyle w:val="TableRowCentered"/>
              <w:spacing w:before="0" w:after="0"/>
              <w:jc w:val="left"/>
              <w:rPr>
                <w:rFonts w:asciiTheme="minorHAnsi" w:hAnsiTheme="minorHAnsi" w:cstheme="minorHAnsi"/>
                <w:color w:val="auto"/>
                <w:sz w:val="20"/>
              </w:rPr>
            </w:pPr>
            <w:r>
              <w:rPr>
                <w:rFonts w:asciiTheme="minorHAnsi" w:hAnsiTheme="minorHAnsi" w:cstheme="minorHAnsi"/>
                <w:color w:val="auto"/>
                <w:sz w:val="20"/>
              </w:rPr>
              <w:t>OFSTED Bold Beginnings 2017</w:t>
            </w:r>
          </w:p>
          <w:p>
            <w:pPr>
              <w:pStyle w:val="TableRowCentered"/>
              <w:spacing w:before="0" w:after="0"/>
              <w:jc w:val="left"/>
              <w:rPr>
                <w:color w:val="auto"/>
                <w:sz w:val="20"/>
              </w:rPr>
            </w:pPr>
            <w:r>
              <w:rPr>
                <w:rFonts w:asciiTheme="minorHAnsi" w:hAnsiTheme="minorHAnsi" w:cstheme="minorHAnsi"/>
                <w:color w:val="auto"/>
                <w:sz w:val="20"/>
              </w:rPr>
              <w:t>Reading for Pleasure 2012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spacing w:before="0" w:after="0"/>
              <w:jc w:val="left"/>
              <w:rPr>
                <w:sz w:val="20"/>
              </w:rPr>
            </w:pPr>
          </w:p>
          <w:p>
            <w:pPr>
              <w:pStyle w:val="TableRowCentered"/>
              <w:spacing w:before="0" w:after="0"/>
              <w:jc w:val="left"/>
              <w:rPr>
                <w:sz w:val="20"/>
              </w:rPr>
            </w:pPr>
            <w:r>
              <w:rPr>
                <w:sz w:val="20"/>
              </w:rPr>
              <w:t>3</w:t>
            </w:r>
          </w:p>
        </w:tc>
      </w:tr>
      <w:tr>
        <w:tc>
          <w:tcPr>
            <w:tcW w:w="1555" w:type="dxa"/>
            <w:vMerge/>
            <w:tcBorders>
              <w:left w:val="single" w:sz="4" w:space="0" w:color="000000"/>
              <w:bottom w:val="single" w:sz="4" w:space="0" w:color="000000"/>
              <w:right w:val="single" w:sz="4" w:space="0" w:color="000000"/>
            </w:tcBorders>
          </w:tcPr>
          <w:p>
            <w:pPr>
              <w:pStyle w:val="TableRow"/>
              <w:spacing w:before="0" w:after="0"/>
              <w:rPr>
                <w:color w:val="auto"/>
                <w:sz w:val="2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rPr>
                <w:rFonts w:asciiTheme="minorHAnsi" w:hAnsiTheme="minorHAnsi" w:cstheme="minorHAnsi"/>
                <w:sz w:val="20"/>
                <w:szCs w:val="20"/>
              </w:rPr>
            </w:pPr>
            <w:r>
              <w:rPr>
                <w:rFonts w:asciiTheme="minorHAnsi" w:hAnsiTheme="minorHAnsi" w:cstheme="minorHAnsi"/>
                <w:sz w:val="20"/>
                <w:szCs w:val="20"/>
              </w:rPr>
              <w:t>Ensure all children are reading regularly in addition to the guided reading sessions.</w:t>
            </w:r>
          </w:p>
        </w:tc>
        <w:tc>
          <w:tcPr>
            <w:tcW w:w="311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spacing w:before="0" w:after="0"/>
              <w:jc w:val="left"/>
              <w:rPr>
                <w:rFonts w:asciiTheme="minorHAnsi" w:hAnsiTheme="minorHAnsi" w:cstheme="minorHAnsi"/>
                <w:color w:val="auto"/>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spacing w:before="0" w:after="0"/>
              <w:jc w:val="left"/>
              <w:rPr>
                <w:sz w:val="20"/>
              </w:rPr>
            </w:pPr>
            <w:r>
              <w:rPr>
                <w:sz w:val="20"/>
              </w:rPr>
              <w:t>3</w:t>
            </w:r>
          </w:p>
        </w:tc>
      </w:tr>
      <w:tr>
        <w:tc>
          <w:tcPr>
            <w:tcW w:w="1555" w:type="dxa"/>
            <w:vMerge w:val="restart"/>
            <w:tcBorders>
              <w:top w:val="single" w:sz="4" w:space="0" w:color="000000"/>
              <w:left w:val="single" w:sz="4" w:space="0" w:color="000000"/>
              <w:right w:val="single" w:sz="4" w:space="0" w:color="000000"/>
            </w:tcBorders>
          </w:tcPr>
          <w:p>
            <w:pPr>
              <w:pStyle w:val="TableRow"/>
              <w:rPr>
                <w:i/>
                <w:color w:val="auto"/>
                <w:sz w:val="20"/>
                <w:szCs w:val="20"/>
              </w:rPr>
            </w:pPr>
            <w:r>
              <w:rPr>
                <w:color w:val="auto"/>
                <w:sz w:val="20"/>
                <w:szCs w:val="20"/>
              </w:rPr>
              <w:t>To embed ‘Teaching for Mastery’ in mathematics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rPr>
                <w:rFonts w:asciiTheme="minorHAnsi" w:hAnsiTheme="minorHAnsi" w:cstheme="minorHAnsi"/>
                <w:sz w:val="20"/>
                <w:szCs w:val="20"/>
              </w:rPr>
            </w:pPr>
            <w:r>
              <w:rPr>
                <w:rFonts w:asciiTheme="minorHAnsi" w:hAnsiTheme="minorHAnsi" w:cstheme="minorHAnsi"/>
                <w:sz w:val="20"/>
                <w:szCs w:val="20"/>
              </w:rPr>
              <w:t>Ensure all children are reading regularly in addition to the guided reading sessions.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r>
              <w:rPr>
                <w:rFonts w:asciiTheme="minorHAnsi" w:hAnsiTheme="minorHAnsi" w:cstheme="minorHAnsi"/>
                <w:color w:val="auto"/>
                <w:sz w:val="20"/>
              </w:rPr>
              <w:t>Ways to Reduce Workload in Your School, updated March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0"/>
              </w:rPr>
            </w:pPr>
          </w:p>
          <w:p>
            <w:pPr>
              <w:pStyle w:val="TableRowCentered"/>
              <w:jc w:val="left"/>
              <w:rPr>
                <w:sz w:val="20"/>
              </w:rPr>
            </w:pPr>
          </w:p>
        </w:tc>
      </w:tr>
      <w:tr>
        <w:tc>
          <w:tcPr>
            <w:tcW w:w="1555" w:type="dxa"/>
            <w:vMerge/>
            <w:tcBorders>
              <w:left w:val="single" w:sz="4" w:space="0" w:color="000000"/>
              <w:bottom w:val="single" w:sz="4" w:space="0" w:color="000000"/>
              <w:right w:val="single" w:sz="4" w:space="0" w:color="000000"/>
            </w:tcBorders>
          </w:tcPr>
          <w:p>
            <w:pPr>
              <w:pStyle w:val="TableRow"/>
              <w:rPr>
                <w:color w:val="auto"/>
                <w:sz w:val="2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cs="Arial"/>
                <w:color w:val="auto"/>
                <w:sz w:val="20"/>
                <w:szCs w:val="20"/>
              </w:rPr>
            </w:pPr>
            <w:r>
              <w:rPr>
                <w:rFonts w:asciiTheme="minorHAnsi" w:hAnsiTheme="minorHAnsi" w:cstheme="minorHAnsi"/>
                <w:sz w:val="20"/>
                <w:szCs w:val="20"/>
              </w:rPr>
              <w:t xml:space="preserve">Embed the practice of times tables and use of Times Table Rock Stars within </w:t>
            </w:r>
            <w:proofErr w:type="spellStart"/>
            <w:r>
              <w:rPr>
                <w:rFonts w:asciiTheme="minorHAnsi" w:hAnsiTheme="minorHAnsi" w:cstheme="minorHAnsi"/>
                <w:sz w:val="20"/>
                <w:szCs w:val="20"/>
              </w:rPr>
              <w:t>home work</w:t>
            </w:r>
            <w:proofErr w:type="spellEnd"/>
            <w:r>
              <w:rPr>
                <w:rFonts w:asciiTheme="minorHAnsi" w:hAnsiTheme="minorHAnsi" w:cstheme="minorHAnsi"/>
                <w:sz w:val="20"/>
                <w:szCs w:val="20"/>
              </w:rPr>
              <w:t xml:space="preserve"> activities.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color w:val="auto"/>
                <w:sz w:val="20"/>
              </w:rPr>
            </w:pPr>
            <w:r>
              <w:rPr>
                <w:rFonts w:asciiTheme="minorHAnsi" w:hAnsiTheme="minorHAnsi" w:cstheme="minorHAnsi"/>
                <w:color w:val="auto"/>
                <w:sz w:val="20"/>
              </w:rPr>
              <w:t>Ways to Reduce Workload in Your School, updated March 2019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0"/>
              </w:rPr>
            </w:pPr>
          </w:p>
          <w:p>
            <w:pPr>
              <w:pStyle w:val="TableRowCentered"/>
              <w:jc w:val="left"/>
              <w:rPr>
                <w:sz w:val="20"/>
              </w:rPr>
            </w:pPr>
            <w:r>
              <w:rPr>
                <w:sz w:val="20"/>
              </w:rPr>
              <w:t>2</w:t>
            </w:r>
          </w:p>
        </w:tc>
      </w:tr>
      <w:tr>
        <w:tc>
          <w:tcPr>
            <w:tcW w:w="1555" w:type="dxa"/>
            <w:tcBorders>
              <w:top w:val="single" w:sz="4" w:space="0" w:color="000000"/>
              <w:left w:val="single" w:sz="4" w:space="0" w:color="000000"/>
              <w:bottom w:val="single" w:sz="4" w:space="0" w:color="000000"/>
              <w:right w:val="single" w:sz="4" w:space="0" w:color="000000"/>
            </w:tcBorders>
          </w:tcPr>
          <w:p>
            <w:pPr>
              <w:pStyle w:val="TableRow"/>
              <w:rPr>
                <w:color w:val="auto"/>
                <w:sz w:val="20"/>
                <w:szCs w:val="20"/>
              </w:rPr>
            </w:pPr>
            <w:r>
              <w:rPr>
                <w:color w:val="auto"/>
                <w:sz w:val="20"/>
                <w:szCs w:val="20"/>
              </w:rPr>
              <w:t>To ensure pupils develop the skills and capacity to regulate emotions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Style w:val="PlaceholderText"/>
                <w:rFonts w:cs="Arial"/>
                <w:color w:val="auto"/>
                <w:sz w:val="20"/>
                <w:szCs w:val="20"/>
              </w:rPr>
            </w:pPr>
            <w:r>
              <w:rPr>
                <w:rFonts w:asciiTheme="minorHAnsi" w:hAnsiTheme="minorHAnsi" w:cstheme="minorHAnsi"/>
                <w:sz w:val="20"/>
                <w:szCs w:val="20"/>
              </w:rPr>
              <w:t>Wellbeing and Attendance Workers to provide support for families and pupils.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rFonts w:asciiTheme="minorHAnsi" w:hAnsiTheme="minorHAnsi" w:cstheme="minorHAnsi"/>
                <w:color w:val="auto"/>
                <w:sz w:val="20"/>
              </w:rPr>
            </w:pPr>
            <w:r>
              <w:rPr>
                <w:rFonts w:asciiTheme="minorHAnsi" w:hAnsiTheme="minorHAnsi" w:cstheme="minorHAnsi"/>
                <w:color w:val="auto"/>
                <w:sz w:val="20"/>
              </w:rPr>
              <w:t>Know Me to Teach Me, L Bomber 2020</w:t>
            </w:r>
          </w:p>
          <w:p>
            <w:pPr>
              <w:pStyle w:val="TableRowCentered"/>
              <w:jc w:val="left"/>
              <w:rPr>
                <w:rFonts w:asciiTheme="minorHAnsi" w:hAnsiTheme="minorHAnsi" w:cstheme="minorHAnsi"/>
                <w:color w:val="auto"/>
                <w:sz w:val="20"/>
              </w:rPr>
            </w:pPr>
            <w:r>
              <w:rPr>
                <w:rFonts w:asciiTheme="minorHAnsi" w:hAnsiTheme="minorHAnsi" w:cstheme="minorHAnsi"/>
                <w:color w:val="auto"/>
                <w:sz w:val="20"/>
              </w:rPr>
              <w:t>The Body Keeps the Score, Bessel van de Kolk 2015</w:t>
            </w:r>
          </w:p>
          <w:p>
            <w:pPr>
              <w:spacing w:after="0"/>
              <w:rPr>
                <w:rFonts w:cs="Arial"/>
                <w:sz w:val="20"/>
                <w:szCs w:val="20"/>
              </w:rPr>
            </w:pPr>
            <w:r>
              <w:rPr>
                <w:rFonts w:asciiTheme="minorHAnsi" w:hAnsiTheme="minorHAnsi" w:cstheme="minorHAnsi"/>
                <w:color w:val="auto"/>
                <w:sz w:val="20"/>
              </w:rPr>
              <w:t>What happened to You, O Winfrey, Dr B Perry 2022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0"/>
              </w:rPr>
            </w:pPr>
          </w:p>
          <w:p>
            <w:pPr>
              <w:pStyle w:val="TableRowCentered"/>
              <w:jc w:val="left"/>
              <w:rPr>
                <w:sz w:val="20"/>
              </w:rPr>
            </w:pPr>
            <w:r>
              <w:rPr>
                <w:sz w:val="20"/>
              </w:rPr>
              <w:t>4</w:t>
            </w:r>
          </w:p>
          <w:p>
            <w:pPr>
              <w:pStyle w:val="TableRowCentered"/>
              <w:jc w:val="left"/>
              <w:rPr>
                <w:sz w:val="20"/>
              </w:rPr>
            </w:pPr>
          </w:p>
        </w:tc>
      </w:tr>
    </w:tbl>
    <w:p>
      <w:pPr>
        <w:spacing w:before="240" w:after="0"/>
        <w:rPr>
          <w:b/>
          <w:bCs/>
          <w:color w:val="104F75"/>
          <w:sz w:val="28"/>
          <w:szCs w:val="28"/>
          <w:highlight w:val="yellow"/>
        </w:rPr>
      </w:pPr>
    </w:p>
    <w:p>
      <w:r>
        <w:rPr>
          <w:b/>
          <w:bCs/>
          <w:color w:val="104F75"/>
          <w:sz w:val="28"/>
          <w:szCs w:val="28"/>
        </w:rPr>
        <w:t xml:space="preserve">Total budgeted cost: £ </w:t>
      </w:r>
      <w:r>
        <w:rPr>
          <w:i/>
          <w:iCs/>
          <w:color w:val="104F75"/>
          <w:sz w:val="28"/>
          <w:szCs w:val="28"/>
        </w:rPr>
        <w:t>170,209</w:t>
      </w:r>
    </w:p>
    <w:p>
      <w:pPr>
        <w:pStyle w:val="Heading1"/>
      </w:pPr>
      <w:r>
        <w:lastRenderedPageBreak/>
        <w:t>Part B: Review of outcomes in the previous academic year</w:t>
      </w:r>
    </w:p>
    <w:p>
      <w:pPr>
        <w:pStyle w:val="Heading2"/>
      </w:pPr>
      <w:r>
        <w:t>Pupil premium strategy outcomes</w:t>
      </w:r>
    </w:p>
    <w:p>
      <w:r>
        <w:t xml:space="preserve">This details the impact that our pupil premium activity had on pupils in the 2022 to 2023 academic year. </w:t>
      </w:r>
    </w:p>
    <w:tbl>
      <w:tblPr>
        <w:tblW w:w="9918" w:type="dxa"/>
        <w:tblCellMar>
          <w:left w:w="10" w:type="dxa"/>
          <w:right w:w="10" w:type="dxa"/>
        </w:tblCellMar>
        <w:tblLook w:val="04A0" w:firstRow="1" w:lastRow="0" w:firstColumn="1" w:lastColumn="0" w:noHBand="0" w:noVBand="1"/>
      </w:tblPr>
      <w:tblGrid>
        <w:gridCol w:w="2689"/>
        <w:gridCol w:w="7229"/>
      </w:tblGrid>
      <w:t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szCs w:val="22"/>
              </w:rPr>
            </w:pPr>
            <w:r>
              <w:rPr>
                <w:b/>
                <w:sz w:val="22"/>
                <w:szCs w:val="22"/>
              </w:rPr>
              <w:t>Aim</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sz w:val="22"/>
                <w:szCs w:val="22"/>
              </w:rPr>
            </w:pPr>
            <w:r>
              <w:rPr>
                <w:b/>
                <w:sz w:val="22"/>
                <w:szCs w:val="22"/>
              </w:rPr>
              <w:t>Outcome</w:t>
            </w:r>
          </w:p>
        </w:tc>
      </w:tr>
      <w:t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spacing w:before="0" w:after="0"/>
              <w:rPr>
                <w:sz w:val="22"/>
                <w:szCs w:val="22"/>
              </w:rPr>
            </w:pPr>
            <w:r>
              <w:rPr>
                <w:color w:val="auto"/>
                <w:sz w:val="20"/>
                <w:szCs w:val="20"/>
              </w:rPr>
              <w:t>Ensure the teaching of word recognition is consistent and has a high priority to develop fluent readers.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jc w:val="both"/>
              <w:rPr>
                <w:rFonts w:asciiTheme="minorHAnsi" w:hAnsiTheme="minorHAnsi" w:cstheme="minorHAnsi"/>
                <w:sz w:val="20"/>
                <w:szCs w:val="20"/>
              </w:rPr>
            </w:pPr>
            <w:r>
              <w:rPr>
                <w:rFonts w:asciiTheme="minorHAnsi" w:hAnsiTheme="minorHAnsi" w:cstheme="minorHAnsi"/>
                <w:sz w:val="20"/>
                <w:szCs w:val="20"/>
              </w:rPr>
              <w:t xml:space="preserve">Observations by the Early Reading Leader demonstrate fidelity to the scheme and a high standard of teaching using the Little </w:t>
            </w:r>
            <w:proofErr w:type="spellStart"/>
            <w:r>
              <w:rPr>
                <w:rFonts w:asciiTheme="minorHAnsi" w:hAnsiTheme="minorHAnsi" w:cstheme="minorHAnsi"/>
                <w:sz w:val="20"/>
                <w:szCs w:val="20"/>
              </w:rPr>
              <w:t>Wandle</w:t>
            </w:r>
            <w:proofErr w:type="spellEnd"/>
            <w:r>
              <w:rPr>
                <w:rFonts w:asciiTheme="minorHAnsi" w:hAnsiTheme="minorHAnsi" w:cstheme="minorHAnsi"/>
                <w:sz w:val="20"/>
                <w:szCs w:val="20"/>
              </w:rPr>
              <w:t xml:space="preserve"> materials. Assessment data demonstrates the positive impact of Little </w:t>
            </w:r>
            <w:proofErr w:type="spellStart"/>
            <w:r>
              <w:rPr>
                <w:rFonts w:asciiTheme="minorHAnsi" w:hAnsiTheme="minorHAnsi" w:cstheme="minorHAnsi"/>
                <w:sz w:val="20"/>
                <w:szCs w:val="20"/>
              </w:rPr>
              <w:t>Wandle</w:t>
            </w:r>
            <w:proofErr w:type="spellEnd"/>
            <w:r>
              <w:rPr>
                <w:rFonts w:asciiTheme="minorHAnsi" w:hAnsiTheme="minorHAnsi" w:cstheme="minorHAnsi"/>
                <w:sz w:val="20"/>
                <w:szCs w:val="20"/>
              </w:rPr>
              <w:t xml:space="preserve"> and the interventions. </w:t>
            </w:r>
          </w:p>
          <w:p>
            <w:pPr>
              <w:spacing w:after="0"/>
              <w:jc w:val="both"/>
              <w:rPr>
                <w:rFonts w:asciiTheme="minorHAnsi" w:hAnsiTheme="minorHAnsi" w:cstheme="minorHAnsi"/>
                <w:sz w:val="20"/>
                <w:szCs w:val="20"/>
              </w:rPr>
            </w:pPr>
            <w:r>
              <w:rPr>
                <w:rFonts w:asciiTheme="minorHAnsi" w:hAnsiTheme="minorHAnsi" w:cstheme="minorHAnsi"/>
                <w:sz w:val="20"/>
                <w:szCs w:val="20"/>
              </w:rPr>
              <w:t xml:space="preserve">A significant number of pupils are still not reading at home (either the electronic books which match the sounds the children are learning or the paper books which children take to develop fluency.) </w:t>
            </w:r>
          </w:p>
          <w:p>
            <w:pPr>
              <w:spacing w:after="0"/>
              <w:jc w:val="both"/>
              <w:rPr>
                <w:rFonts w:asciiTheme="minorHAnsi" w:hAnsiTheme="minorHAnsi" w:cstheme="minorHAnsi"/>
                <w:sz w:val="20"/>
                <w:szCs w:val="20"/>
              </w:rPr>
            </w:pPr>
            <w:r>
              <w:rPr>
                <w:rFonts w:asciiTheme="minorHAnsi" w:hAnsiTheme="minorHAnsi" w:cstheme="minorHAnsi"/>
                <w:sz w:val="20"/>
                <w:szCs w:val="20"/>
              </w:rPr>
              <w:t>In 2023, 71.4% of pupils met the phonics screening check compared to 75% nationally in 2022. 60% 0f Pupil Premium pupils met the standard in comparison to 78% of non-Pupil Premium pupils.</w:t>
            </w:r>
          </w:p>
          <w:p>
            <w:pPr>
              <w:spacing w:after="0"/>
              <w:jc w:val="both"/>
              <w:rPr>
                <w:rFonts w:asciiTheme="minorHAnsi" w:hAnsiTheme="minorHAnsi" w:cstheme="minorHAnsi"/>
                <w:sz w:val="20"/>
                <w:szCs w:val="20"/>
              </w:rPr>
            </w:pPr>
            <w:r>
              <w:rPr>
                <w:rFonts w:asciiTheme="minorHAnsi" w:hAnsiTheme="minorHAnsi" w:cstheme="minorHAnsi"/>
                <w:sz w:val="20"/>
                <w:szCs w:val="20"/>
              </w:rPr>
              <w:t xml:space="preserve">Data throughout the school demonstrates the increasing percentage of pupils working at the expected level in Reading with 27% of pupils making better than expected progress in reading. This better than expected progress is also reflected by </w:t>
            </w:r>
            <w:proofErr w:type="spellStart"/>
            <w:r>
              <w:rPr>
                <w:rFonts w:asciiTheme="minorHAnsi" w:hAnsiTheme="minorHAnsi" w:cstheme="minorHAnsi"/>
                <w:sz w:val="20"/>
                <w:szCs w:val="20"/>
              </w:rPr>
              <w:t>Lexplore</w:t>
            </w:r>
            <w:proofErr w:type="spellEnd"/>
            <w:r>
              <w:rPr>
                <w:rFonts w:asciiTheme="minorHAnsi" w:hAnsiTheme="minorHAnsi" w:cstheme="minorHAnsi"/>
                <w:sz w:val="20"/>
                <w:szCs w:val="20"/>
              </w:rPr>
              <w:t xml:space="preserve"> data, which shows 68% of pupils from Year 2 to Year 6 to be average or above in summer 2023, compared to 57% in Summer 2022.</w:t>
            </w:r>
          </w:p>
          <w:p>
            <w:pPr>
              <w:spacing w:after="0"/>
              <w:jc w:val="both"/>
              <w:rPr>
                <w:rFonts w:asciiTheme="minorHAnsi" w:hAnsiTheme="minorHAnsi" w:cstheme="minorHAnsi"/>
                <w:sz w:val="20"/>
                <w:szCs w:val="20"/>
              </w:rPr>
            </w:pPr>
            <w:r>
              <w:rPr>
                <w:rFonts w:asciiTheme="minorHAnsi" w:hAnsiTheme="minorHAnsi" w:cstheme="minorHAnsi"/>
                <w:sz w:val="20"/>
                <w:szCs w:val="20"/>
              </w:rPr>
              <w:t>At the end of KS2, 55.6% of pupils met or exceeded expectations in the SATs, with 24.4% at greater depth. 66% of Pupil Premium pupils met or exceeded expectations whilst 48% of non-Pupil Premium met the expectations.</w:t>
            </w:r>
          </w:p>
          <w:p>
            <w:pPr>
              <w:spacing w:after="0"/>
              <w:jc w:val="both"/>
              <w:rPr>
                <w:rFonts w:asciiTheme="minorHAnsi" w:hAnsiTheme="minorHAnsi" w:cstheme="minorHAnsi"/>
                <w:sz w:val="20"/>
                <w:szCs w:val="20"/>
              </w:rPr>
            </w:pPr>
            <w:r>
              <w:rPr>
                <w:rFonts w:asciiTheme="minorHAnsi" w:hAnsiTheme="minorHAnsi" w:cstheme="minorHAnsi"/>
                <w:sz w:val="20"/>
                <w:szCs w:val="20"/>
              </w:rPr>
              <w:t xml:space="preserve">Progress for pupils at the end of Key Stage Two in Reading is similar for Pupil Premium and non-Pupil Premium pupils. Progress was significantly negatively </w:t>
            </w:r>
            <w:proofErr w:type="spellStart"/>
            <w:proofErr w:type="gramStart"/>
            <w:r>
              <w:rPr>
                <w:rFonts w:asciiTheme="minorHAnsi" w:hAnsiTheme="minorHAnsi" w:cstheme="minorHAnsi"/>
                <w:sz w:val="20"/>
                <w:szCs w:val="20"/>
              </w:rPr>
              <w:t>effected</w:t>
            </w:r>
            <w:proofErr w:type="spellEnd"/>
            <w:proofErr w:type="gramEnd"/>
            <w:r>
              <w:rPr>
                <w:rFonts w:asciiTheme="minorHAnsi" w:hAnsiTheme="minorHAnsi" w:cstheme="minorHAnsi"/>
                <w:sz w:val="20"/>
                <w:szCs w:val="20"/>
              </w:rPr>
              <w:t xml:space="preserve"> by pupils who were defined as scoring Low on </w:t>
            </w:r>
            <w:proofErr w:type="spellStart"/>
            <w:r>
              <w:rPr>
                <w:rFonts w:asciiTheme="minorHAnsi" w:hAnsiTheme="minorHAnsi" w:cstheme="minorHAnsi"/>
                <w:sz w:val="20"/>
                <w:szCs w:val="20"/>
              </w:rPr>
              <w:t>Lexplore</w:t>
            </w:r>
            <w:proofErr w:type="spellEnd"/>
            <w:r>
              <w:rPr>
                <w:rFonts w:asciiTheme="minorHAnsi" w:hAnsiTheme="minorHAnsi" w:cstheme="minorHAnsi"/>
                <w:sz w:val="20"/>
                <w:szCs w:val="20"/>
              </w:rPr>
              <w:t>.</w:t>
            </w:r>
          </w:p>
        </w:tc>
      </w:tr>
      <w:t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spacing w:before="0" w:after="0"/>
              <w:rPr>
                <w:sz w:val="22"/>
                <w:szCs w:val="22"/>
              </w:rPr>
            </w:pPr>
            <w:r>
              <w:rPr>
                <w:color w:val="auto"/>
                <w:sz w:val="20"/>
                <w:szCs w:val="20"/>
              </w:rPr>
              <w:t>To embed ‘Teaching for Mastery’ in mathematics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jc w:val="both"/>
              <w:rPr>
                <w:rFonts w:asciiTheme="minorHAnsi" w:hAnsiTheme="minorHAnsi" w:cstheme="minorHAnsi"/>
                <w:sz w:val="20"/>
                <w:szCs w:val="20"/>
              </w:rPr>
            </w:pPr>
            <w:r>
              <w:rPr>
                <w:rFonts w:asciiTheme="minorHAnsi" w:hAnsiTheme="minorHAnsi" w:cstheme="minorHAnsi"/>
                <w:sz w:val="20"/>
                <w:szCs w:val="20"/>
              </w:rPr>
              <w:t>The Red Rose Scheme is continuing to support teachers by providing a rigorous and structured approach which ensures coverage of all key aspects of mathematics, consistent and high-quality models and images which support children’s understanding and embedded opportunities to apply their learning in context.</w:t>
            </w:r>
          </w:p>
          <w:p>
            <w:pPr>
              <w:spacing w:after="0"/>
              <w:jc w:val="both"/>
              <w:rPr>
                <w:rFonts w:asciiTheme="minorHAnsi" w:hAnsiTheme="minorHAnsi" w:cstheme="minorHAnsi"/>
                <w:sz w:val="20"/>
                <w:szCs w:val="20"/>
              </w:rPr>
            </w:pPr>
            <w:r>
              <w:rPr>
                <w:rFonts w:asciiTheme="minorHAnsi" w:hAnsiTheme="minorHAnsi" w:cstheme="minorHAnsi"/>
                <w:sz w:val="20"/>
                <w:szCs w:val="20"/>
              </w:rPr>
              <w:t>There continues to be some lessons which need adapting to support pupils in managing the cognitive load required.</w:t>
            </w:r>
          </w:p>
          <w:p>
            <w:pPr>
              <w:spacing w:after="0"/>
              <w:jc w:val="both"/>
              <w:rPr>
                <w:rFonts w:asciiTheme="minorHAnsi" w:hAnsiTheme="minorHAnsi" w:cstheme="minorHAnsi"/>
                <w:sz w:val="20"/>
                <w:szCs w:val="20"/>
              </w:rPr>
            </w:pPr>
            <w:r>
              <w:rPr>
                <w:rFonts w:asciiTheme="minorHAnsi" w:hAnsiTheme="minorHAnsi" w:cstheme="minorHAnsi"/>
                <w:sz w:val="20"/>
                <w:szCs w:val="20"/>
              </w:rPr>
              <w:t xml:space="preserve">Teachers have developed strategies to ensure that learning for pupils in mixed-age classes is sequenced and progressive. </w:t>
            </w:r>
          </w:p>
          <w:p>
            <w:pPr>
              <w:spacing w:after="0"/>
              <w:jc w:val="both"/>
              <w:rPr>
                <w:rFonts w:asciiTheme="minorHAnsi" w:hAnsiTheme="minorHAnsi" w:cstheme="minorHAnsi"/>
                <w:sz w:val="20"/>
                <w:szCs w:val="20"/>
              </w:rPr>
            </w:pPr>
            <w:r>
              <w:rPr>
                <w:rFonts w:asciiTheme="minorHAnsi" w:hAnsiTheme="minorHAnsi" w:cstheme="minorHAnsi"/>
                <w:sz w:val="20"/>
                <w:szCs w:val="20"/>
              </w:rPr>
              <w:t>65% of pupils from Year 1 to 5 are meeting expectations and 32% have made more than expected progress.</w:t>
            </w:r>
          </w:p>
          <w:p>
            <w:pPr>
              <w:spacing w:after="0"/>
              <w:jc w:val="both"/>
              <w:rPr>
                <w:rFonts w:asciiTheme="minorHAnsi" w:hAnsiTheme="minorHAnsi" w:cstheme="minorHAnsi"/>
                <w:sz w:val="20"/>
                <w:szCs w:val="20"/>
              </w:rPr>
            </w:pPr>
            <w:r>
              <w:rPr>
                <w:rFonts w:asciiTheme="minorHAnsi" w:hAnsiTheme="minorHAnsi" w:cstheme="minorHAnsi"/>
                <w:sz w:val="20"/>
                <w:szCs w:val="20"/>
              </w:rPr>
              <w:t>At the end of KS2, 66.7% of pupils met or exceeded expectations in the SATs, with 13% at greater depth. 56% of Pupil Premium pupils met or exceeded expectations whilst 75% of non-Pupil Premium met the expectations.</w:t>
            </w:r>
          </w:p>
          <w:p>
            <w:pPr>
              <w:spacing w:after="0"/>
              <w:jc w:val="both"/>
              <w:rPr>
                <w:rFonts w:asciiTheme="minorHAnsi" w:hAnsiTheme="minorHAnsi" w:cstheme="minorHAnsi"/>
                <w:color w:val="000000"/>
                <w:sz w:val="20"/>
                <w:szCs w:val="20"/>
              </w:rPr>
            </w:pPr>
            <w:r>
              <w:rPr>
                <w:rFonts w:asciiTheme="minorHAnsi" w:hAnsiTheme="minorHAnsi" w:cstheme="minorHAnsi"/>
                <w:sz w:val="20"/>
                <w:szCs w:val="20"/>
              </w:rPr>
              <w:t>Progress for pupils at the end of Key Stage Two in Mathematics is slightly greater for non-Pupil Premium pupils than Pupil Premium pupils.</w:t>
            </w:r>
          </w:p>
        </w:tc>
      </w:tr>
      <w:t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bookmarkStart w:id="17" w:name="_GoBack"/>
            <w:bookmarkEnd w:id="17"/>
            <w:r>
              <w:rPr>
                <w:color w:val="auto"/>
                <w:sz w:val="20"/>
                <w:szCs w:val="20"/>
              </w:rPr>
              <w:t>To address gaps in learning as part of Catch up strategy.</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rFonts w:asciiTheme="minorHAnsi" w:hAnsiTheme="minorHAnsi" w:cstheme="minorHAnsi"/>
                <w:color w:val="000000"/>
                <w:sz w:val="20"/>
                <w:szCs w:val="20"/>
              </w:rPr>
              <w:t>School-Led Tuition sessions have supported pupils in making good progress. To improve this further, groups should be smaller so that teaching can focus on a small range of specific targets.</w:t>
            </w:r>
          </w:p>
        </w:tc>
      </w:tr>
      <w:t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spacing w:before="0" w:after="0"/>
              <w:rPr>
                <w:rFonts w:cs="Arial"/>
                <w:sz w:val="22"/>
                <w:szCs w:val="22"/>
              </w:rPr>
            </w:pPr>
            <w:r>
              <w:rPr>
                <w:color w:val="auto"/>
                <w:sz w:val="20"/>
                <w:szCs w:val="20"/>
              </w:rPr>
              <w:lastRenderedPageBreak/>
              <w:t>To ensure pupils develop the skills and capacity to regulate emotions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pacing w:after="0"/>
              <w:jc w:val="both"/>
              <w:rPr>
                <w:rFonts w:asciiTheme="minorHAnsi" w:hAnsiTheme="minorHAnsi" w:cstheme="minorHAnsi"/>
                <w:sz w:val="20"/>
                <w:szCs w:val="20"/>
              </w:rPr>
            </w:pPr>
            <w:r>
              <w:rPr>
                <w:rFonts w:asciiTheme="minorHAnsi" w:hAnsiTheme="minorHAnsi" w:cstheme="minorHAnsi"/>
                <w:sz w:val="20"/>
                <w:szCs w:val="20"/>
              </w:rPr>
              <w:t>All staff have been involved in training to develop their understanding of the Behaviour Wall, Functional Fluency and the Relational approach. A Relational Support Plan Framework has been produced and these are been created for pupils whose behaviours suggest that this is required. These ensure a consistency of approach but are based on the specific vocabulary, sensory stimuli and activities which enable the particular child to regulate difficult emotions.</w:t>
            </w:r>
          </w:p>
          <w:p>
            <w:pPr>
              <w:spacing w:after="0"/>
              <w:jc w:val="both"/>
              <w:rPr>
                <w:rFonts w:asciiTheme="minorHAnsi" w:hAnsiTheme="minorHAnsi" w:cstheme="minorHAnsi"/>
                <w:sz w:val="20"/>
                <w:szCs w:val="20"/>
              </w:rPr>
            </w:pPr>
            <w:r>
              <w:rPr>
                <w:rFonts w:asciiTheme="minorHAnsi" w:hAnsiTheme="minorHAnsi" w:cstheme="minorHAnsi"/>
                <w:sz w:val="20"/>
                <w:szCs w:val="20"/>
              </w:rPr>
              <w:t>Coaching sessions with Steve Russell have provided supervision for staff but also supported them in developing clear relational approaches to their work with children. It is supporting us when dealing with incidents, in walking the fine line between children knowing they are loved and yet understanding how to make reparations and build resilience to ‘weather the trigger’ in the future. This resource has helped to strengthen our Relational approach and ensure that this pedagogy is integral to our practice. Steve Russell held a session with Year 6 pupils looking at the affirmations and choosing personal ones which will support them through transition.</w:t>
            </w:r>
          </w:p>
          <w:p>
            <w:pPr>
              <w:spacing w:after="0"/>
              <w:jc w:val="both"/>
              <w:rPr>
                <w:rFonts w:asciiTheme="minorHAnsi" w:hAnsiTheme="minorHAnsi" w:cstheme="minorHAnsi"/>
                <w:sz w:val="20"/>
                <w:szCs w:val="20"/>
              </w:rPr>
            </w:pPr>
            <w:r>
              <w:rPr>
                <w:rFonts w:asciiTheme="minorHAnsi" w:hAnsiTheme="minorHAnsi" w:cstheme="minorHAnsi"/>
                <w:sz w:val="20"/>
                <w:szCs w:val="20"/>
              </w:rPr>
              <w:t>Mental Health support has been strengthened across the school through a targeted approach which utilises other services and staff specialism. This has enabled more specific support for individual pupils and an increase in the number of children receiving support:</w:t>
            </w:r>
          </w:p>
          <w:p>
            <w:pPr>
              <w:pStyle w:val="ListParagraph"/>
              <w:numPr>
                <w:ilvl w:val="0"/>
                <w:numId w:val="18"/>
              </w:numPr>
              <w:suppressAutoHyphens w:val="0"/>
              <w:autoSpaceDN/>
              <w:spacing w:after="0" w:line="240" w:lineRule="auto"/>
              <w:jc w:val="both"/>
              <w:rPr>
                <w:rFonts w:asciiTheme="minorHAnsi" w:hAnsiTheme="minorHAnsi" w:cstheme="minorHAnsi"/>
                <w:sz w:val="20"/>
                <w:szCs w:val="20"/>
              </w:rPr>
            </w:pPr>
            <w:r>
              <w:rPr>
                <w:rFonts w:asciiTheme="minorHAnsi" w:hAnsiTheme="minorHAnsi" w:cstheme="minorHAnsi"/>
                <w:sz w:val="20"/>
                <w:szCs w:val="20"/>
              </w:rPr>
              <w:t>Inside Out provided by Lancashire Mental Health Team</w:t>
            </w:r>
          </w:p>
          <w:p>
            <w:pPr>
              <w:pStyle w:val="ListParagraph"/>
              <w:numPr>
                <w:ilvl w:val="0"/>
                <w:numId w:val="18"/>
              </w:numPr>
              <w:suppressAutoHyphens w:val="0"/>
              <w:autoSpaceDN/>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Brighter Lives – support for identified children </w:t>
            </w:r>
          </w:p>
          <w:p>
            <w:pPr>
              <w:pStyle w:val="ListParagraph"/>
              <w:numPr>
                <w:ilvl w:val="0"/>
                <w:numId w:val="18"/>
              </w:numPr>
              <w:suppressAutoHyphens w:val="0"/>
              <w:autoSpaceDN/>
              <w:spacing w:after="0" w:line="240" w:lineRule="auto"/>
              <w:jc w:val="both"/>
              <w:rPr>
                <w:rFonts w:asciiTheme="minorHAnsi" w:hAnsiTheme="minorHAnsi" w:cstheme="minorHAnsi"/>
                <w:sz w:val="20"/>
                <w:szCs w:val="20"/>
              </w:rPr>
            </w:pPr>
            <w:r>
              <w:rPr>
                <w:rFonts w:asciiTheme="minorHAnsi" w:hAnsiTheme="minorHAnsi" w:cstheme="minorHAnsi"/>
                <w:sz w:val="20"/>
                <w:szCs w:val="20"/>
              </w:rPr>
              <w:t>Play Therapy – support for identified Looked After Children (2 children)</w:t>
            </w:r>
          </w:p>
          <w:p>
            <w:pPr>
              <w:pStyle w:val="ListParagraph"/>
              <w:numPr>
                <w:ilvl w:val="0"/>
                <w:numId w:val="18"/>
              </w:numPr>
              <w:suppressAutoHyphens w:val="0"/>
              <w:autoSpaceDN/>
              <w:spacing w:after="0" w:line="240" w:lineRule="auto"/>
              <w:jc w:val="both"/>
              <w:rPr>
                <w:rFonts w:asciiTheme="minorHAnsi" w:hAnsiTheme="minorHAnsi" w:cstheme="minorHAnsi"/>
                <w:sz w:val="20"/>
                <w:szCs w:val="20"/>
              </w:rPr>
            </w:pPr>
            <w:r>
              <w:rPr>
                <w:rFonts w:asciiTheme="minorHAnsi" w:hAnsiTheme="minorHAnsi" w:cstheme="minorHAnsi"/>
                <w:sz w:val="20"/>
                <w:szCs w:val="20"/>
              </w:rPr>
              <w:t>Emotional Literacy Support Assistant has provided specific support to identified children (4 children)</w:t>
            </w:r>
          </w:p>
          <w:p>
            <w:pPr>
              <w:pStyle w:val="ListParagraph"/>
              <w:numPr>
                <w:ilvl w:val="0"/>
                <w:numId w:val="18"/>
              </w:numPr>
              <w:suppressAutoHyphens w:val="0"/>
              <w:autoSpaceDN/>
              <w:spacing w:after="0" w:line="240" w:lineRule="auto"/>
              <w:jc w:val="both"/>
              <w:rPr>
                <w:rFonts w:asciiTheme="minorHAnsi" w:hAnsiTheme="minorHAnsi" w:cstheme="minorHAnsi"/>
                <w:sz w:val="20"/>
                <w:szCs w:val="20"/>
              </w:rPr>
            </w:pPr>
            <w:r>
              <w:rPr>
                <w:rFonts w:asciiTheme="minorHAnsi" w:hAnsiTheme="minorHAnsi" w:cstheme="minorHAnsi"/>
                <w:sz w:val="20"/>
                <w:szCs w:val="20"/>
              </w:rPr>
              <w:t>Drawing and Talking for identified children (12 children).</w:t>
            </w:r>
          </w:p>
          <w:p>
            <w:pPr>
              <w:spacing w:after="0"/>
              <w:jc w:val="both"/>
              <w:rPr>
                <w:rFonts w:asciiTheme="minorHAnsi" w:hAnsiTheme="minorHAnsi" w:cstheme="minorHAnsi"/>
                <w:sz w:val="20"/>
                <w:szCs w:val="20"/>
              </w:rPr>
            </w:pPr>
            <w:r>
              <w:rPr>
                <w:rFonts w:asciiTheme="minorHAnsi" w:hAnsiTheme="minorHAnsi" w:cstheme="minorHAnsi"/>
                <w:sz w:val="20"/>
                <w:szCs w:val="20"/>
              </w:rPr>
              <w:t>The Mental Health Team has been strengthened for 23/24 through the appointment of:</w:t>
            </w:r>
          </w:p>
          <w:p>
            <w:pPr>
              <w:pStyle w:val="ListParagraph"/>
              <w:numPr>
                <w:ilvl w:val="0"/>
                <w:numId w:val="18"/>
              </w:numPr>
              <w:suppressAutoHyphens w:val="0"/>
              <w:autoSpaceDN/>
              <w:spacing w:after="0" w:line="240" w:lineRule="auto"/>
              <w:jc w:val="both"/>
              <w:rPr>
                <w:rFonts w:asciiTheme="minorHAnsi" w:hAnsiTheme="minorHAnsi" w:cstheme="minorHAnsi"/>
                <w:sz w:val="20"/>
                <w:szCs w:val="20"/>
              </w:rPr>
            </w:pPr>
            <w:r>
              <w:rPr>
                <w:rFonts w:asciiTheme="minorHAnsi" w:hAnsiTheme="minorHAnsi" w:cstheme="minorHAnsi"/>
                <w:sz w:val="20"/>
                <w:szCs w:val="20"/>
              </w:rPr>
              <w:t>a Teacher in charge of Wellbeing and Attendance</w:t>
            </w:r>
          </w:p>
          <w:p>
            <w:pPr>
              <w:pStyle w:val="ListParagraph"/>
              <w:numPr>
                <w:ilvl w:val="0"/>
                <w:numId w:val="18"/>
              </w:numPr>
              <w:suppressAutoHyphens w:val="0"/>
              <w:autoSpaceDN/>
              <w:spacing w:after="0" w:line="240" w:lineRule="auto"/>
              <w:jc w:val="both"/>
              <w:rPr>
                <w:rFonts w:asciiTheme="minorHAnsi" w:hAnsiTheme="minorHAnsi" w:cstheme="minorHAnsi"/>
                <w:sz w:val="20"/>
                <w:szCs w:val="20"/>
              </w:rPr>
            </w:pPr>
            <w:r>
              <w:rPr>
                <w:rFonts w:asciiTheme="minorHAnsi" w:hAnsiTheme="minorHAnsi" w:cstheme="minorHAnsi"/>
                <w:sz w:val="20"/>
                <w:szCs w:val="20"/>
              </w:rPr>
              <w:t>An Attendance and Wellbeing Support Worker (34 hours per week)</w:t>
            </w:r>
          </w:p>
          <w:p>
            <w:pPr>
              <w:pStyle w:val="TableRow"/>
              <w:numPr>
                <w:ilvl w:val="0"/>
                <w:numId w:val="18"/>
              </w:numPr>
              <w:spacing w:before="0" w:after="0"/>
              <w:jc w:val="both"/>
              <w:rPr>
                <w:rStyle w:val="PlaceholderText"/>
                <w:color w:val="808080" w:themeColor="background1" w:themeShade="80"/>
                <w:sz w:val="20"/>
                <w:szCs w:val="20"/>
              </w:rPr>
            </w:pPr>
            <w:r>
              <w:rPr>
                <w:rFonts w:asciiTheme="minorHAnsi" w:hAnsiTheme="minorHAnsi" w:cstheme="minorHAnsi"/>
                <w:sz w:val="20"/>
                <w:szCs w:val="20"/>
              </w:rPr>
              <w:t>A Wellbeing support worker (12 hours per week)</w:t>
            </w:r>
          </w:p>
        </w:tc>
      </w:tr>
      <w:t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rFonts w:cs="Arial"/>
                <w:sz w:val="22"/>
                <w:szCs w:val="22"/>
              </w:rPr>
            </w:pPr>
            <w:r>
              <w:rPr>
                <w:rStyle w:val="PlaceholderText"/>
                <w:color w:val="auto"/>
                <w:sz w:val="20"/>
                <w:szCs w:val="20"/>
              </w:rPr>
              <w:t>Increase attendance and improve punctuality for Pupil Premium pupils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jc w:val="both"/>
              <w:rPr>
                <w:rStyle w:val="PlaceholderText"/>
                <w:rFonts w:asciiTheme="minorHAnsi" w:hAnsiTheme="minorHAnsi"/>
                <w:color w:val="auto"/>
                <w:sz w:val="20"/>
                <w:szCs w:val="20"/>
              </w:rPr>
            </w:pPr>
            <w:r>
              <w:rPr>
                <w:rStyle w:val="PlaceholderText"/>
                <w:rFonts w:asciiTheme="minorHAnsi" w:hAnsiTheme="minorHAnsi"/>
                <w:color w:val="auto"/>
                <w:sz w:val="20"/>
                <w:szCs w:val="20"/>
              </w:rPr>
              <w:t xml:space="preserve">In 2022-23, attendance was 92.6% in comparison to 94`% nationally. </w:t>
            </w:r>
          </w:p>
          <w:p>
            <w:pPr>
              <w:pStyle w:val="TableRow"/>
              <w:jc w:val="both"/>
              <w:rPr>
                <w:rStyle w:val="PlaceholderText"/>
                <w:rFonts w:asciiTheme="minorHAnsi" w:hAnsiTheme="minorHAnsi"/>
                <w:color w:val="auto"/>
                <w:sz w:val="20"/>
                <w:szCs w:val="20"/>
              </w:rPr>
            </w:pPr>
            <w:r>
              <w:rPr>
                <w:rStyle w:val="PlaceholderText"/>
                <w:rFonts w:asciiTheme="minorHAnsi" w:hAnsiTheme="minorHAnsi"/>
                <w:color w:val="auto"/>
                <w:sz w:val="20"/>
                <w:szCs w:val="20"/>
              </w:rPr>
              <w:t>Absence for the academic year is 7.4% (4.8% authorised; 2.6% unauthorised). Absence is significantly greater for Pupil Premium pupils with absences of 6.11%/2.79% (Auth/</w:t>
            </w:r>
            <w:proofErr w:type="spellStart"/>
            <w:r>
              <w:rPr>
                <w:rStyle w:val="PlaceholderText"/>
                <w:rFonts w:asciiTheme="minorHAnsi" w:hAnsiTheme="minorHAnsi"/>
                <w:color w:val="auto"/>
                <w:sz w:val="20"/>
                <w:szCs w:val="20"/>
              </w:rPr>
              <w:t>Unauth</w:t>
            </w:r>
            <w:proofErr w:type="spellEnd"/>
            <w:r>
              <w:rPr>
                <w:rStyle w:val="PlaceholderText"/>
                <w:rFonts w:asciiTheme="minorHAnsi" w:hAnsiTheme="minorHAnsi"/>
                <w:color w:val="auto"/>
                <w:sz w:val="20"/>
                <w:szCs w:val="20"/>
              </w:rPr>
              <w:t>) compared to non-PP absences of 3.96%/2.18%. Punctuality rates are also better for Non-PP pupils.</w:t>
            </w:r>
          </w:p>
          <w:p>
            <w:pPr>
              <w:pStyle w:val="TableRow"/>
              <w:jc w:val="both"/>
              <w:rPr>
                <w:rStyle w:val="PlaceholderText"/>
                <w:color w:val="808080" w:themeColor="background1" w:themeShade="80"/>
                <w:sz w:val="20"/>
                <w:szCs w:val="20"/>
              </w:rPr>
            </w:pPr>
            <w:r>
              <w:rPr>
                <w:rStyle w:val="PlaceholderText"/>
                <w:rFonts w:asciiTheme="minorHAnsi" w:hAnsiTheme="minorHAnsi"/>
                <w:color w:val="auto"/>
                <w:sz w:val="20"/>
                <w:szCs w:val="20"/>
              </w:rPr>
              <w:t>16.1% of pupils had more than 38 absences during the year 22-23 and therefore were classed as persistent absent. 28.6% of PP pupils were classified as Persistent Absent in comparison to only 8.8% of the non-PP pupils.</w:t>
            </w:r>
          </w:p>
        </w:tc>
      </w:tr>
    </w:tbl>
    <w:p>
      <w:pPr>
        <w:pStyle w:val="Heading2"/>
        <w:spacing w:before="600" w:after="0"/>
      </w:pPr>
      <w:r>
        <w:t>Externally produced programmes</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Provider</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Little </w:t>
            </w:r>
            <w:proofErr w:type="spellStart"/>
            <w:r>
              <w:t>Wandle</w:t>
            </w:r>
            <w:proofErr w:type="spellEnd"/>
            <w:r>
              <w:t xml:space="preserve">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proofErr w:type="spellStart"/>
            <w:r>
              <w:t>Wandle</w:t>
            </w:r>
            <w:proofErr w:type="spellEnd"/>
            <w:r>
              <w:t xml:space="preserve"> Learning Trust</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Red Rose Mathematics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r>
              <w:t>Lancashire Advisory Service</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proofErr w:type="spellStart"/>
            <w:r>
              <w:t>Lexplore</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proofErr w:type="spellStart"/>
            <w:r>
              <w:t>Lexplore</w:t>
            </w:r>
            <w:proofErr w:type="spellEnd"/>
            <w:r>
              <w:t xml:space="preserve"> Analytics</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Thinking Skills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r>
              <w:t>Dialogue Works</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Emotion Works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r>
              <w:t>Emotion Works</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Behaviour Wall, Functional Fluency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r>
              <w:t>Steve Russell – Beyond Behaviour</w:t>
            </w:r>
          </w:p>
        </w:tc>
      </w:tr>
    </w:tbl>
    <w:p>
      <w:pPr>
        <w:spacing w:after="0" w:line="240" w:lineRule="auto"/>
      </w:pPr>
    </w:p>
    <w:bookmarkEnd w:id="14"/>
    <w:bookmarkEnd w:id="15"/>
    <w:bookmarkEnd w:id="16"/>
    <w:sectPr>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ind w:firstLine="4513"/>
    </w:pPr>
    <w:r>
      <w:fldChar w:fldCharType="begin"/>
    </w:r>
    <w:r>
      <w:instrText xml:space="preserve"> PAGE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474722"/>
    <w:multiLevelType w:val="hybridMultilevel"/>
    <w:tmpl w:val="F602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BE4C04"/>
    <w:multiLevelType w:val="hybridMultilevel"/>
    <w:tmpl w:val="0B74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7143AA9"/>
    <w:multiLevelType w:val="hybridMultilevel"/>
    <w:tmpl w:val="0D62BFB4"/>
    <w:lvl w:ilvl="0" w:tplc="F5D699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924E83"/>
    <w:multiLevelType w:val="hybridMultilevel"/>
    <w:tmpl w:val="78BC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5C633C"/>
    <w:multiLevelType w:val="hybridMultilevel"/>
    <w:tmpl w:val="F2461018"/>
    <w:lvl w:ilvl="0" w:tplc="61B274C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D87B2D"/>
    <w:multiLevelType w:val="hybridMultilevel"/>
    <w:tmpl w:val="6038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255305"/>
    <w:multiLevelType w:val="hybridMultilevel"/>
    <w:tmpl w:val="FB0A37F0"/>
    <w:lvl w:ilvl="0" w:tplc="E95AB1DC">
      <w:start w:val="202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6"/>
  </w:num>
  <w:num w:numId="4">
    <w:abstractNumId w:val="7"/>
  </w:num>
  <w:num w:numId="5">
    <w:abstractNumId w:val="0"/>
  </w:num>
  <w:num w:numId="6">
    <w:abstractNumId w:val="9"/>
  </w:num>
  <w:num w:numId="7">
    <w:abstractNumId w:val="14"/>
  </w:num>
  <w:num w:numId="8">
    <w:abstractNumId w:val="19"/>
  </w:num>
  <w:num w:numId="9">
    <w:abstractNumId w:val="16"/>
  </w:num>
  <w:num w:numId="10">
    <w:abstractNumId w:val="15"/>
  </w:num>
  <w:num w:numId="11">
    <w:abstractNumId w:val="4"/>
  </w:num>
  <w:num w:numId="12">
    <w:abstractNumId w:val="17"/>
  </w:num>
  <w:num w:numId="13">
    <w:abstractNumId w:val="11"/>
  </w:num>
  <w:num w:numId="14">
    <w:abstractNumId w:val="13"/>
  </w:num>
  <w:num w:numId="15">
    <w:abstractNumId w:val="1"/>
  </w:num>
  <w:num w:numId="16">
    <w:abstractNumId w:val="18"/>
  </w:num>
  <w:num w:numId="17">
    <w:abstractNumId w:val="3"/>
  </w:num>
  <w:num w:numId="18">
    <w:abstractNumId w:val="8"/>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Bullet 1,Bullet Points,Bullet Style,Colorful List - Accent 11,Dot pt,F5 List Paragraph,Indicator Text,L,List Paragraph Char Char Char,List Paragraph1,List Paragraph12,MAIN CONTENT,No Spacing1,Normal numbered,Numbered Para 1,NumberedList"/>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pPr>
      <w:autoSpaceDE w:val="0"/>
      <w:adjustRightInd w:val="0"/>
    </w:pPr>
    <w:rPr>
      <w:rFonts w:ascii="Calibri" w:eastAsiaTheme="minorHAnsi" w:hAnsi="Calibri" w:cs="Calibri"/>
      <w:color w:val="000000"/>
      <w:sz w:val="24"/>
      <w:szCs w:val="24"/>
      <w:lang w:eastAsia="en-US"/>
    </w:rPr>
  </w:style>
  <w:style w:type="character" w:styleId="PlaceholderText">
    <w:name w:val="Placeholder Text"/>
    <w:basedOn w:val="DefaultParagraphFont"/>
    <w:rPr>
      <w:color w:val="808080"/>
    </w:rPr>
  </w:style>
  <w:style w:type="character" w:customStyle="1" w:styleId="ListParagraphChar">
    <w:name w:val="List Paragraph Char"/>
    <w:aliases w:val="Bullet 1 Char,Bullet Points Char,Bullet Style Char,Colorful List - Accent 11 Char,Dot pt Char,F5 List Paragraph Char,Indicator Text Char,L Char,List Paragraph Char Char Char Char,List Paragraph1 Char,List Paragraph12 Char"/>
    <w:link w:val="ListParagraph"/>
    <w:uiPriority w:val="34"/>
    <w:qFormat/>
    <w:locked/>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d2tic4wvo1iusb.cloudfront.net/eef-guidance-reports/implementation/EEF-Active-Ingredients-Summary.pdf?v=1635355218" TargetMode="External"/><Relationship Id="rId18" Type="http://schemas.openxmlformats.org/officeDocument/2006/relationships/hyperlink" Target="https://educationendowmentfoundation.org.uk/education-evidence/teaching-learning-toolkit/one-to-one-tuit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one-to-one-tuition" TargetMode="External"/><Relationship Id="rId2" Type="http://schemas.openxmlformats.org/officeDocument/2006/relationships/styles" Target="styles.xml"/><Relationship Id="rId16" Type="http://schemas.openxmlformats.org/officeDocument/2006/relationships/hyperlink" Target="https://educationendowmentfoundation.org.uk/guidance-for-teachers/literac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eef-guidance-reports/implementation/EEF-Active-Ingredients-Summary.pdf?v=1635355218" TargetMode="External"/><Relationship Id="rId5" Type="http://schemas.openxmlformats.org/officeDocument/2006/relationships/footnotes" Target="footnotes.xml"/><Relationship Id="rId15" Type="http://schemas.openxmlformats.org/officeDocument/2006/relationships/hyperlink" Target="https://www.teachingexpertise.com/articles/sharing-good-teaching-practice/"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reading-comprehension-strategies" TargetMode="External"/><Relationship Id="rId19" Type="http://schemas.openxmlformats.org/officeDocument/2006/relationships/hyperlink" Target="https://educationendowmentfoundation.org.uk/projects-and-evaluation/projects/improving-working-memory" TargetMode="External"/><Relationship Id="rId4" Type="http://schemas.openxmlformats.org/officeDocument/2006/relationships/webSettings" Target="webSettings.xml"/><Relationship Id="rId9" Type="http://schemas.openxmlformats.org/officeDocument/2006/relationships/hyperlink" Target="https://www.teachingexpertise.com/articles/sharing-good-teaching-practice/" TargetMode="External"/><Relationship Id="rId14" Type="http://schemas.openxmlformats.org/officeDocument/2006/relationships/hyperlink" Target="https://clpe.org.uk/system/files/What%20We%20Know%20Works%20-%20Choosing%20%26%20Using%20Quality%20Tex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3153</Words>
  <Characters>17976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Beverly Holmes</cp:lastModifiedBy>
  <cp:revision>7</cp:revision>
  <cp:lastPrinted>2021-09-14T09:32:00Z</cp:lastPrinted>
  <dcterms:created xsi:type="dcterms:W3CDTF">2023-08-09T21:05:00Z</dcterms:created>
  <dcterms:modified xsi:type="dcterms:W3CDTF">2023-09-19T19:20:00Z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