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133"/>
        <w:tblW w:w="0" w:type="auto"/>
        <w:tblLook w:val="04A0" w:firstRow="1" w:lastRow="0" w:firstColumn="1" w:lastColumn="0" w:noHBand="0" w:noVBand="1"/>
      </w:tblPr>
      <w:tblGrid>
        <w:gridCol w:w="10460"/>
        <w:gridCol w:w="348"/>
        <w:gridCol w:w="349"/>
        <w:gridCol w:w="349"/>
        <w:gridCol w:w="348"/>
        <w:gridCol w:w="349"/>
        <w:gridCol w:w="349"/>
        <w:gridCol w:w="348"/>
        <w:gridCol w:w="349"/>
        <w:gridCol w:w="349"/>
        <w:gridCol w:w="349"/>
        <w:gridCol w:w="348"/>
        <w:gridCol w:w="349"/>
        <w:gridCol w:w="349"/>
        <w:gridCol w:w="348"/>
        <w:gridCol w:w="349"/>
        <w:gridCol w:w="349"/>
        <w:gridCol w:w="348"/>
        <w:gridCol w:w="349"/>
        <w:gridCol w:w="349"/>
        <w:gridCol w:w="349"/>
        <w:gridCol w:w="348"/>
        <w:gridCol w:w="349"/>
        <w:gridCol w:w="349"/>
        <w:gridCol w:w="348"/>
        <w:gridCol w:w="349"/>
        <w:gridCol w:w="349"/>
        <w:gridCol w:w="348"/>
        <w:gridCol w:w="349"/>
        <w:gridCol w:w="349"/>
        <w:gridCol w:w="349"/>
      </w:tblGrid>
      <w:tr>
        <w:tc>
          <w:tcPr>
            <w:tcW w:w="20921" w:type="dxa"/>
            <w:gridSpan w:val="31"/>
            <w:shd w:val="clear" w:color="auto" w:fill="BFBFBF" w:themeFill="background1" w:themeFillShade="BF"/>
          </w:tcPr>
          <w:p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Reading Moderation Year 5</w:t>
            </w:r>
          </w:p>
        </w:tc>
      </w:tr>
      <w:tr>
        <w:tc>
          <w:tcPr>
            <w:tcW w:w="20921" w:type="dxa"/>
            <w:gridSpan w:val="31"/>
          </w:tcPr>
          <w:p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Class:</w:t>
            </w:r>
          </w:p>
        </w:tc>
      </w:tr>
      <w:tr>
        <w:trPr>
          <w:trHeight w:val="2201"/>
        </w:trPr>
        <w:tc>
          <w:tcPr>
            <w:tcW w:w="10460" w:type="dxa"/>
          </w:tcPr>
          <w:p>
            <w:pPr>
              <w:rPr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20921" w:type="dxa"/>
            <w:gridSpan w:val="31"/>
            <w:shd w:val="clear" w:color="auto" w:fill="BFBFBF" w:themeFill="background1" w:themeFillShade="BF"/>
          </w:tcPr>
          <w:p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kern w:val="0"/>
                <w:sz w:val="26"/>
                <w:szCs w:val="26"/>
                <w14:ligatures w14:val="none"/>
              </w:rPr>
              <w:t>Working Just Below Expected Standard</w:t>
            </w:r>
            <w:bookmarkStart w:id="0" w:name="_GoBack"/>
            <w:bookmarkEnd w:id="0"/>
          </w:p>
        </w:tc>
      </w:tr>
      <w:tr>
        <w:tc>
          <w:tcPr>
            <w:tcW w:w="10460" w:type="dxa"/>
          </w:tcPr>
          <w:p>
            <w:pPr>
              <w:pStyle w:val="ListParagraph"/>
              <w:numPr>
                <w:ilvl w:val="0"/>
                <w:numId w:val="1"/>
              </w:numPr>
              <w:spacing w:after="60"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Read texts without overly sounding out and  with automaticity.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</w:tcPr>
          <w:p>
            <w:pPr>
              <w:pStyle w:val="ListParagraph"/>
              <w:numPr>
                <w:ilvl w:val="0"/>
                <w:numId w:val="1"/>
              </w:numPr>
              <w:spacing w:after="20"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Use punctuation to determine intonation and expression when reading aloud to a range of audiences.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</w:tcPr>
          <w:p>
            <w:pPr>
              <w:pStyle w:val="ListParagraph"/>
              <w:numPr>
                <w:ilvl w:val="0"/>
                <w:numId w:val="1"/>
              </w:numPr>
              <w:spacing w:after="20"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Explaining the meaning of key vocabulary within the context of the text.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</w:tcPr>
          <w:p>
            <w:pPr>
              <w:pStyle w:val="ListParagraph"/>
              <w:numPr>
                <w:ilvl w:val="0"/>
                <w:numId w:val="1"/>
              </w:numPr>
              <w:spacing w:after="20"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Demonstrate active reading strategies e.g. generating questions, finding answers, refining thinking, modifying questions, constructing images.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</w:tcPr>
          <w:p>
            <w:pPr>
              <w:pStyle w:val="ListParagraph"/>
              <w:numPr>
                <w:ilvl w:val="0"/>
                <w:numId w:val="1"/>
              </w:numPr>
              <w:spacing w:after="20"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Draw inferences around characters’ thoughts, feelings, actions and motives, and justify with evidence from the text using point and evidence.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20921" w:type="dxa"/>
            <w:gridSpan w:val="31"/>
            <w:shd w:val="clear" w:color="auto" w:fill="BFBFBF" w:themeFill="background1" w:themeFillShade="BF"/>
          </w:tcPr>
          <w:p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Working </w:t>
            </w:r>
            <w:proofErr w:type="gramStart"/>
            <w:r>
              <w:rPr>
                <w:b/>
                <w:bCs/>
                <w:sz w:val="26"/>
                <w:szCs w:val="26"/>
              </w:rPr>
              <w:t>At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 Expected Standard</w:t>
            </w: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Read a range of texts with fluency (as assessed using the Fluency Rubric).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Apply knowledge of  prefixes to understand meaning of new words.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 xml:space="preserve">Use suffixes to understand meanings e.g. </w:t>
            </w:r>
            <w:r>
              <w:rPr>
                <w:rFonts w:cs="Segoe UI"/>
                <w:i/>
                <w:sz w:val="22"/>
                <w:szCs w:val="22"/>
              </w:rPr>
              <w:t>-ant, -</w:t>
            </w:r>
            <w:proofErr w:type="spellStart"/>
            <w:r>
              <w:rPr>
                <w:rFonts w:cs="Segoe UI"/>
                <w:i/>
                <w:sz w:val="22"/>
                <w:szCs w:val="22"/>
              </w:rPr>
              <w:t>ance</w:t>
            </w:r>
            <w:proofErr w:type="spellEnd"/>
            <w:r>
              <w:rPr>
                <w:rFonts w:cs="Segoe UI"/>
                <w:i/>
                <w:sz w:val="22"/>
                <w:szCs w:val="22"/>
              </w:rPr>
              <w:t>, -</w:t>
            </w:r>
            <w:proofErr w:type="spellStart"/>
            <w:r>
              <w:rPr>
                <w:rFonts w:cs="Segoe UI"/>
                <w:i/>
                <w:sz w:val="22"/>
                <w:szCs w:val="22"/>
              </w:rPr>
              <w:t>ancy</w:t>
            </w:r>
            <w:proofErr w:type="spellEnd"/>
            <w:r>
              <w:rPr>
                <w:rFonts w:cs="Segoe UI"/>
                <w:i/>
                <w:sz w:val="22"/>
                <w:szCs w:val="22"/>
              </w:rPr>
              <w:t>, -</w:t>
            </w:r>
            <w:proofErr w:type="spellStart"/>
            <w:r>
              <w:rPr>
                <w:rFonts w:cs="Segoe UI"/>
                <w:i/>
                <w:sz w:val="22"/>
                <w:szCs w:val="22"/>
              </w:rPr>
              <w:t>ent</w:t>
            </w:r>
            <w:proofErr w:type="spellEnd"/>
            <w:r>
              <w:rPr>
                <w:rFonts w:cs="Segoe UI"/>
                <w:i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cs="Segoe UI"/>
                <w:i/>
                <w:sz w:val="22"/>
                <w:szCs w:val="22"/>
              </w:rPr>
              <w:t>ence</w:t>
            </w:r>
            <w:proofErr w:type="spellEnd"/>
            <w:r>
              <w:rPr>
                <w:rFonts w:cs="Segoe UI"/>
                <w:i/>
                <w:sz w:val="22"/>
                <w:szCs w:val="22"/>
              </w:rPr>
              <w:t>, -</w:t>
            </w:r>
            <w:proofErr w:type="spellStart"/>
            <w:r>
              <w:rPr>
                <w:rFonts w:cs="Segoe UI"/>
                <w:i/>
                <w:sz w:val="22"/>
                <w:szCs w:val="22"/>
              </w:rPr>
              <w:t>ency</w:t>
            </w:r>
            <w:proofErr w:type="spellEnd"/>
            <w:r>
              <w:rPr>
                <w:rFonts w:cs="Segoe UI"/>
                <w:i/>
                <w:sz w:val="22"/>
                <w:szCs w:val="22"/>
              </w:rPr>
              <w:t>, -</w:t>
            </w:r>
            <w:proofErr w:type="spellStart"/>
            <w:r>
              <w:rPr>
                <w:rFonts w:cs="Segoe UI"/>
                <w:i/>
                <w:sz w:val="22"/>
                <w:szCs w:val="22"/>
              </w:rPr>
              <w:t>ible</w:t>
            </w:r>
            <w:proofErr w:type="spellEnd"/>
            <w:r>
              <w:rPr>
                <w:rFonts w:cs="Segoe UI"/>
                <w:i/>
                <w:sz w:val="22"/>
                <w:szCs w:val="22"/>
              </w:rPr>
              <w:t>, -able, -</w:t>
            </w:r>
            <w:proofErr w:type="spellStart"/>
            <w:r>
              <w:rPr>
                <w:rFonts w:cs="Segoe UI"/>
                <w:i/>
                <w:sz w:val="22"/>
                <w:szCs w:val="22"/>
              </w:rPr>
              <w:t>ibly</w:t>
            </w:r>
            <w:proofErr w:type="spellEnd"/>
            <w:r>
              <w:rPr>
                <w:rFonts w:cs="Segoe UI"/>
                <w:i/>
                <w:sz w:val="22"/>
                <w:szCs w:val="22"/>
              </w:rPr>
              <w:t>, -ably.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Use punctuation and context to determine intonation and expression when reading aloud to a range of audiences.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 xml:space="preserve">Checking that the book makes sense to them and demonstrating understanding e.g. </w:t>
            </w:r>
            <w:r>
              <w:rPr>
                <w:rFonts w:cs="Segoe UI"/>
                <w:i/>
                <w:sz w:val="22"/>
                <w:szCs w:val="22"/>
              </w:rPr>
              <w:t>through discussion, use of reading journals.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Predict what might happen from information stated and/or implied.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 xml:space="preserve">Demonstrating active reading strategies e.g. </w:t>
            </w:r>
            <w:r>
              <w:rPr>
                <w:rFonts w:cs="Segoe UI"/>
                <w:i/>
                <w:sz w:val="22"/>
                <w:szCs w:val="22"/>
              </w:rPr>
              <w:t>generating questions to refine thinking, noting thoughts in a reading journal.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Infer characters feelings, thoughts and motives from their actions and justifying inferences with evidence and explanation.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Provide reasoned justifications for their views by j</w:t>
            </w:r>
            <w:proofErr w:type="spellStart"/>
            <w:r>
              <w:rPr>
                <w:rFonts w:eastAsia="Times New Roman" w:cs="Segoe UI"/>
                <w:sz w:val="22"/>
                <w:szCs w:val="22"/>
                <w:lang w:val="en-US" w:eastAsia="en-GB"/>
              </w:rPr>
              <w:t>ustifying</w:t>
            </w:r>
            <w:proofErr w:type="spellEnd"/>
            <w:r>
              <w:rPr>
                <w:rFonts w:eastAsia="Times New Roman" w:cs="Segoe UI"/>
                <w:sz w:val="22"/>
                <w:szCs w:val="22"/>
                <w:lang w:val="en-US" w:eastAsia="en-GB"/>
              </w:rPr>
              <w:t xml:space="preserve"> opinions and elaborating by referring to the text. (Point + Evidence + Explanation).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Scan for key words and use text marking to locate key information.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rFonts w:cs="Segoe UI"/>
                <w:sz w:val="22"/>
                <w:szCs w:val="22"/>
              </w:rPr>
              <w:t>Re-read and read ahead to locate clues to support understanding.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20921" w:type="dxa"/>
            <w:gridSpan w:val="31"/>
            <w:shd w:val="clear" w:color="auto" w:fill="BFBFBF" w:themeFill="background1" w:themeFillShade="BF"/>
          </w:tcPr>
          <w:p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Working At The Greater Depth.</w:t>
            </w: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read age-appropriate books with confidence and fluency (including whole novels)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explain and discuss their understanding of what they have read, drawing inferences and justifying these with point, evidence and explanation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Segoe UI"/>
                <w:sz w:val="22"/>
                <w:szCs w:val="22"/>
              </w:rPr>
            </w:pPr>
            <w:r>
              <w:rPr>
                <w:sz w:val="22"/>
                <w:szCs w:val="22"/>
              </w:rPr>
              <w:t>summarise main ideas, identifying key details and using quotations for illustration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  <w:tr>
        <w:tc>
          <w:tcPr>
            <w:tcW w:w="10460" w:type="dxa"/>
            <w:shd w:val="clear" w:color="auto" w:fill="FFFFFF" w:themeFill="background1"/>
          </w:tcPr>
          <w:p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evaluate how authors use language, including figurative language, considering the impact on the reader</w:t>
            </w: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8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349" w:type="dxa"/>
          </w:tcPr>
          <w:p>
            <w:pPr>
              <w:rPr>
                <w:sz w:val="26"/>
                <w:szCs w:val="26"/>
              </w:rPr>
            </w:pPr>
          </w:p>
        </w:tc>
      </w:tr>
    </w:tbl>
    <w:p>
      <w:pPr>
        <w:rPr>
          <w:sz w:val="21"/>
          <w:szCs w:val="21"/>
        </w:rPr>
      </w:pPr>
    </w:p>
    <w:sectPr>
      <w:headerReference w:type="default" r:id="rId8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80204020409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-135255</wp:posOffset>
          </wp:positionV>
          <wp:extent cx="923925" cy="923925"/>
          <wp:effectExtent l="0" t="0" r="9525" b="9525"/>
          <wp:wrapNone/>
          <wp:docPr id="1845833132" name="Picture 1" descr="A logo with a cross in the keyho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833132" name="Picture 1" descr="A logo with a cross in the keyho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12872085</wp:posOffset>
          </wp:positionH>
          <wp:positionV relativeFrom="margin">
            <wp:posOffset>-638175</wp:posOffset>
          </wp:positionV>
          <wp:extent cx="904875" cy="1019226"/>
          <wp:effectExtent l="0" t="0" r="0" b="9525"/>
          <wp:wrapSquare wrapText="bothSides"/>
          <wp:docPr id="1228785337" name="Picture 2" descr="A tree with many different symbols and ro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785337" name="Picture 2" descr="A tree with many different symbols and root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19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34312"/>
    <w:multiLevelType w:val="hybridMultilevel"/>
    <w:tmpl w:val="04A4406A"/>
    <w:lvl w:ilvl="0" w:tplc="F9ACC4F8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E4A83"/>
    <w:multiLevelType w:val="hybridMultilevel"/>
    <w:tmpl w:val="4FAA820E"/>
    <w:lvl w:ilvl="0" w:tplc="B642A748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D61967"/>
    <w:multiLevelType w:val="hybridMultilevel"/>
    <w:tmpl w:val="A68825D4"/>
    <w:lvl w:ilvl="0" w:tplc="BAA4B036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F730B8"/>
    <w:multiLevelType w:val="hybridMultilevel"/>
    <w:tmpl w:val="5E542080"/>
    <w:lvl w:ilvl="0" w:tplc="5FE2DE28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87CF1"/>
    <w:multiLevelType w:val="hybridMultilevel"/>
    <w:tmpl w:val="381019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E843D6"/>
    <w:multiLevelType w:val="hybridMultilevel"/>
    <w:tmpl w:val="6F126866"/>
    <w:lvl w:ilvl="0" w:tplc="5FE2DE28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06B59"/>
    <w:multiLevelType w:val="hybridMultilevel"/>
    <w:tmpl w:val="C590B968"/>
    <w:lvl w:ilvl="0" w:tplc="6268937A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A7799C"/>
    <w:multiLevelType w:val="hybridMultilevel"/>
    <w:tmpl w:val="FA04F9B0"/>
    <w:lvl w:ilvl="0" w:tplc="8312AFF0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8732A9"/>
    <w:multiLevelType w:val="hybridMultilevel"/>
    <w:tmpl w:val="878ECE9C"/>
    <w:lvl w:ilvl="0" w:tplc="5FE2DE28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2050E"/>
    <w:multiLevelType w:val="hybridMultilevel"/>
    <w:tmpl w:val="611017E6"/>
    <w:lvl w:ilvl="0" w:tplc="EC46C23E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D42B38"/>
    <w:multiLevelType w:val="hybridMultilevel"/>
    <w:tmpl w:val="F9BE79B6"/>
    <w:lvl w:ilvl="0" w:tplc="D140445A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C25015"/>
    <w:multiLevelType w:val="hybridMultilevel"/>
    <w:tmpl w:val="353ED684"/>
    <w:lvl w:ilvl="0" w:tplc="6CE04E6E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2" w15:restartNumberingAfterBreak="0">
    <w:nsid w:val="47D042E8"/>
    <w:multiLevelType w:val="hybridMultilevel"/>
    <w:tmpl w:val="CF4C2906"/>
    <w:lvl w:ilvl="0" w:tplc="6B5AFB0E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97150A"/>
    <w:multiLevelType w:val="hybridMultilevel"/>
    <w:tmpl w:val="6F80E37A"/>
    <w:lvl w:ilvl="0" w:tplc="CFD60418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5173B87"/>
    <w:multiLevelType w:val="hybridMultilevel"/>
    <w:tmpl w:val="E72402B6"/>
    <w:lvl w:ilvl="0" w:tplc="81B2E9F2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6D5B4A"/>
    <w:multiLevelType w:val="hybridMultilevel"/>
    <w:tmpl w:val="BAF840B0"/>
    <w:lvl w:ilvl="0" w:tplc="20FE1728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2"/>
  </w:num>
  <w:num w:numId="5">
    <w:abstractNumId w:val="15"/>
  </w:num>
  <w:num w:numId="6">
    <w:abstractNumId w:val="2"/>
  </w:num>
  <w:num w:numId="7">
    <w:abstractNumId w:val="1"/>
  </w:num>
  <w:num w:numId="8">
    <w:abstractNumId w:val="0"/>
  </w:num>
  <w:num w:numId="9">
    <w:abstractNumId w:val="5"/>
  </w:num>
  <w:num w:numId="10">
    <w:abstractNumId w:val="8"/>
  </w:num>
  <w:num w:numId="11">
    <w:abstractNumId w:val="3"/>
  </w:num>
  <w:num w:numId="12">
    <w:abstractNumId w:val="14"/>
  </w:num>
  <w:num w:numId="13">
    <w:abstractNumId w:val="13"/>
  </w:num>
  <w:num w:numId="14">
    <w:abstractNumId w:val="7"/>
  </w:num>
  <w:num w:numId="15">
    <w:abstractNumId w:val="9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D3F31D2-4FE1-4D6C-9570-F1B707E4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2B638-3D8D-4327-BEE5-3A6699EF8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Gaukroger</dc:creator>
  <cp:keywords/>
  <dc:description/>
  <cp:lastModifiedBy>12008, head</cp:lastModifiedBy>
  <cp:revision>8</cp:revision>
  <cp:lastPrinted>2025-05-12T11:04:00Z</cp:lastPrinted>
  <dcterms:created xsi:type="dcterms:W3CDTF">2025-05-10T12:30:00Z</dcterms:created>
  <dcterms:modified xsi:type="dcterms:W3CDTF">2025-05-14T09:20:00Z</dcterms:modified>
</cp:coreProperties>
</file>