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Theme="majorHAnsi" w:hAnsiTheme="majorHAnsi" w:cstheme="majorHAnsi"/>
          <w:color w:val="990033"/>
          <w:sz w:val="56"/>
          <w:szCs w:val="56"/>
          <w:u w:val="single"/>
        </w:rPr>
      </w:pPr>
      <w:r>
        <w:rPr>
          <w:rFonts w:asciiTheme="majorHAnsi" w:hAnsiTheme="majorHAnsi" w:cstheme="majorHAnsi"/>
          <w:color w:val="990033"/>
          <w:sz w:val="56"/>
          <w:szCs w:val="56"/>
          <w:u w:val="single"/>
        </w:rPr>
        <w:t>Inclusive Strategies in RSHE</w:t>
      </w:r>
      <w:bookmarkStart w:id="0" w:name="_GoBack"/>
      <w:bookmarkEnd w:id="0"/>
    </w:p>
    <w:p/>
    <w:tbl>
      <w:tblPr>
        <w:tblStyle w:val="TableGrid"/>
        <w:tblW w:w="10207" w:type="dxa"/>
        <w:tblInd w:w="-431" w:type="dxa"/>
        <w:tblLook w:val="04A0" w:firstRow="1" w:lastRow="0" w:firstColumn="1" w:lastColumn="0" w:noHBand="0" w:noVBand="1"/>
      </w:tblPr>
      <w:tblGrid>
        <w:gridCol w:w="3687"/>
        <w:gridCol w:w="6520"/>
      </w:tblGrid>
      <w:tr>
        <w:tc>
          <w:tcPr>
            <w:tcW w:w="3687" w:type="dxa"/>
          </w:tcPr>
          <w:p>
            <w:pPr>
              <w:rPr>
                <w:rFonts w:asciiTheme="majorHAnsi" w:hAnsiTheme="majorHAnsi" w:cstheme="majorHAnsi"/>
                <w:sz w:val="28"/>
                <w:szCs w:val="28"/>
              </w:rPr>
            </w:pPr>
            <w:r>
              <w:rPr>
                <w:rFonts w:asciiTheme="majorHAnsi" w:hAnsiTheme="majorHAnsi" w:cstheme="majorHAnsi"/>
                <w:sz w:val="28"/>
                <w:szCs w:val="28"/>
              </w:rPr>
              <w:t>Inclusive strategies in Science</w:t>
            </w:r>
          </w:p>
        </w:tc>
        <w:tc>
          <w:tcPr>
            <w:tcW w:w="6520" w:type="dxa"/>
          </w:tcPr>
          <w:p>
            <w:pPr>
              <w:rPr>
                <w:rFonts w:asciiTheme="majorHAnsi" w:hAnsiTheme="majorHAnsi" w:cstheme="majorHAnsi"/>
                <w:sz w:val="28"/>
                <w:szCs w:val="28"/>
              </w:rPr>
            </w:pPr>
            <w:r>
              <w:rPr>
                <w:rFonts w:asciiTheme="majorHAnsi" w:hAnsiTheme="majorHAnsi" w:cstheme="majorHAnsi"/>
                <w:sz w:val="28"/>
                <w:szCs w:val="28"/>
              </w:rPr>
              <w:t>Examples observed within lessons</w:t>
            </w:r>
          </w:p>
        </w:tc>
      </w:tr>
      <w:tr>
        <w:tc>
          <w:tcPr>
            <w:tcW w:w="3687" w:type="dxa"/>
          </w:tcPr>
          <w:p>
            <w:pPr>
              <w:rPr>
                <w:rFonts w:asciiTheme="majorHAnsi" w:hAnsiTheme="majorHAnsi" w:cstheme="majorHAnsi"/>
              </w:rPr>
            </w:pPr>
            <w:r>
              <w:rPr>
                <w:rFonts w:asciiTheme="majorHAnsi" w:hAnsiTheme="majorHAnsi" w:cstheme="majorHAnsi"/>
              </w:rPr>
              <w:t>Lessons have low entry but high ceiling</w:t>
            </w:r>
          </w:p>
        </w:tc>
        <w:tc>
          <w:tcPr>
            <w:tcW w:w="6520" w:type="dxa"/>
          </w:tcPr>
          <w:p>
            <w:pPr>
              <w:rPr>
                <w:rFonts w:asciiTheme="majorHAnsi" w:hAnsiTheme="majorHAnsi" w:cstheme="majorHAnsi"/>
              </w:rPr>
            </w:pPr>
            <w:r>
              <w:rPr>
                <w:rFonts w:asciiTheme="majorHAnsi" w:hAnsiTheme="majorHAnsi" w:cstheme="majorHAnsi"/>
              </w:rPr>
              <w:t xml:space="preserve">The curriculum is built progressively and all aspects are revisited over  2-year cycle. Lessons link to children’s prior knowledge where all children can access. Lessons then move on to the next achievable step- visuals and resources are used to engage learners and enable access. Teachers have high expectations of all children and children’s knowledge is extended / deepened by the end of the lesson. </w:t>
            </w:r>
          </w:p>
          <w:p>
            <w:pPr>
              <w:rPr>
                <w:rFonts w:asciiTheme="majorHAnsi" w:hAnsiTheme="majorHAnsi" w:cstheme="majorHAnsi"/>
              </w:rPr>
            </w:pPr>
          </w:p>
        </w:tc>
      </w:tr>
      <w:tr>
        <w:tc>
          <w:tcPr>
            <w:tcW w:w="3687" w:type="dxa"/>
          </w:tcPr>
          <w:p>
            <w:pPr>
              <w:rPr>
                <w:rFonts w:asciiTheme="majorHAnsi" w:hAnsiTheme="majorHAnsi" w:cstheme="majorHAnsi"/>
              </w:rPr>
            </w:pPr>
            <w:r>
              <w:rPr>
                <w:rFonts w:asciiTheme="majorHAnsi" w:hAnsiTheme="majorHAnsi" w:cstheme="majorHAnsi"/>
              </w:rPr>
              <w:t>Removal of individual barriers to learning</w:t>
            </w:r>
          </w:p>
        </w:tc>
        <w:tc>
          <w:tcPr>
            <w:tcW w:w="6520" w:type="dxa"/>
          </w:tcPr>
          <w:p>
            <w:pPr>
              <w:rPr>
                <w:rFonts w:asciiTheme="majorHAnsi" w:hAnsiTheme="majorHAnsi" w:cstheme="majorHAnsi"/>
              </w:rPr>
            </w:pPr>
            <w:r>
              <w:rPr>
                <w:rFonts w:asciiTheme="majorHAnsi" w:hAnsiTheme="majorHAnsi" w:cstheme="majorHAnsi"/>
              </w:rPr>
              <w:t xml:space="preserve">Adults read aloud statements for children.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Images/statements pre-cut out for children reducing the risk of overwhelm and allowing time for high quality discussion.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Alternative methods of recording are used for some children including drawing or a scribe recording comments for a small group.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Pre-drawn table and recording templates used when required.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Checklists used to aid in organisation of tasks for particular children.</w:t>
            </w:r>
          </w:p>
          <w:p>
            <w:pPr>
              <w:rPr>
                <w:rFonts w:asciiTheme="majorHAnsi" w:hAnsiTheme="majorHAnsi" w:cstheme="majorHAnsi"/>
              </w:rPr>
            </w:pPr>
          </w:p>
        </w:tc>
      </w:tr>
      <w:tr>
        <w:tc>
          <w:tcPr>
            <w:tcW w:w="3687" w:type="dxa"/>
          </w:tcPr>
          <w:p>
            <w:pPr>
              <w:rPr>
                <w:rFonts w:asciiTheme="majorHAnsi" w:hAnsiTheme="majorHAnsi" w:cstheme="majorHAnsi"/>
              </w:rPr>
            </w:pPr>
            <w:r>
              <w:rPr>
                <w:rFonts w:asciiTheme="majorHAnsi" w:hAnsiTheme="majorHAnsi" w:cstheme="majorHAnsi"/>
              </w:rPr>
              <w:t>Sequential learning in RSHE</w:t>
            </w:r>
          </w:p>
        </w:tc>
        <w:tc>
          <w:tcPr>
            <w:tcW w:w="6520" w:type="dxa"/>
          </w:tcPr>
          <w:p>
            <w:pPr>
              <w:rPr>
                <w:rFonts w:asciiTheme="majorHAnsi" w:hAnsiTheme="majorHAnsi" w:cstheme="majorHAnsi"/>
              </w:rPr>
            </w:pPr>
            <w:r>
              <w:rPr>
                <w:rFonts w:asciiTheme="majorHAnsi" w:hAnsiTheme="majorHAnsi" w:cstheme="majorHAnsi"/>
              </w:rPr>
              <w:t>MT Planning follows My Happy Mind+ and the curriculum progression demonstrates how lessons build on those from previous years.</w:t>
            </w:r>
          </w:p>
          <w:p>
            <w:pPr>
              <w:rPr>
                <w:rFonts w:asciiTheme="majorHAnsi" w:hAnsiTheme="majorHAnsi" w:cstheme="majorHAnsi"/>
              </w:rPr>
            </w:pPr>
          </w:p>
        </w:tc>
      </w:tr>
      <w:tr>
        <w:tc>
          <w:tcPr>
            <w:tcW w:w="3687" w:type="dxa"/>
          </w:tcPr>
          <w:p>
            <w:pPr>
              <w:rPr>
                <w:rFonts w:asciiTheme="majorHAnsi" w:hAnsiTheme="majorHAnsi" w:cstheme="majorHAnsi"/>
              </w:rPr>
            </w:pPr>
          </w:p>
          <w:p>
            <w:pPr>
              <w:rPr>
                <w:rFonts w:asciiTheme="majorHAnsi" w:hAnsiTheme="majorHAnsi" w:cstheme="majorHAnsi"/>
              </w:rPr>
            </w:pPr>
            <w:r>
              <w:rPr>
                <w:rFonts w:asciiTheme="majorHAnsi" w:hAnsiTheme="majorHAnsi" w:cstheme="majorHAnsi"/>
              </w:rPr>
              <w:t>Regular 30-minute weekly lessons</w:t>
            </w:r>
          </w:p>
          <w:p>
            <w:pPr>
              <w:rPr>
                <w:rFonts w:asciiTheme="majorHAnsi" w:hAnsiTheme="majorHAnsi" w:cstheme="majorHAnsi"/>
              </w:rPr>
            </w:pPr>
          </w:p>
        </w:tc>
        <w:tc>
          <w:tcPr>
            <w:tcW w:w="6520" w:type="dxa"/>
          </w:tcPr>
          <w:p>
            <w:pPr>
              <w:rPr>
                <w:rFonts w:asciiTheme="majorHAnsi" w:hAnsiTheme="majorHAnsi" w:cstheme="majorHAnsi"/>
              </w:rPr>
            </w:pPr>
            <w:r>
              <w:rPr>
                <w:rFonts w:asciiTheme="majorHAnsi" w:hAnsiTheme="majorHAnsi" w:cstheme="majorHAnsi"/>
              </w:rPr>
              <w:t>Given the nature of some of the discussions, we have a specific slot each week so children know when the lesson is coming up.</w:t>
            </w:r>
          </w:p>
          <w:p>
            <w:pPr>
              <w:rPr>
                <w:rFonts w:asciiTheme="majorHAnsi" w:hAnsiTheme="majorHAnsi" w:cstheme="majorHAnsi"/>
              </w:rPr>
            </w:pPr>
            <w:r>
              <w:rPr>
                <w:rFonts w:asciiTheme="majorHAnsi" w:hAnsiTheme="majorHAnsi" w:cstheme="majorHAnsi"/>
              </w:rPr>
              <w:t xml:space="preserve">Balanced pace of lessons observed- fast enough to move learning on whilst maintaining interest and enthusiasm but pace is accessible to children with slower processing- additional aids used to further support this- visuals, practical aids. </w:t>
            </w:r>
          </w:p>
        </w:tc>
      </w:tr>
      <w:tr>
        <w:tc>
          <w:tcPr>
            <w:tcW w:w="3687" w:type="dxa"/>
          </w:tcPr>
          <w:p>
            <w:pPr>
              <w:rPr>
                <w:rFonts w:asciiTheme="majorHAnsi" w:hAnsiTheme="majorHAnsi" w:cstheme="majorHAnsi"/>
              </w:rPr>
            </w:pPr>
            <w:r>
              <w:rPr>
                <w:rFonts w:asciiTheme="majorHAnsi" w:hAnsiTheme="majorHAnsi" w:cstheme="majorHAnsi"/>
              </w:rPr>
              <w:t>Multi-sensory approaches are used</w:t>
            </w:r>
          </w:p>
        </w:tc>
        <w:tc>
          <w:tcPr>
            <w:tcW w:w="6520" w:type="dxa"/>
          </w:tcPr>
          <w:p>
            <w:pPr>
              <w:rPr>
                <w:rFonts w:asciiTheme="majorHAnsi" w:hAnsiTheme="majorHAnsi" w:cstheme="majorHAnsi"/>
              </w:rPr>
            </w:pPr>
            <w:bookmarkStart w:id="1" w:name="_Hlk165555229"/>
            <w:r>
              <w:rPr>
                <w:rFonts w:asciiTheme="majorHAnsi" w:hAnsiTheme="majorHAnsi" w:cstheme="majorHAnsi"/>
              </w:rPr>
              <w:t>Use multisensory resources including visuals, video and H-A-P soft toys to aid understanding.</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Teachers across school provide lots of real-life experiences to engage our children and provide a real-life context to their learning in class. These experiences may be in class delivered by the teachers. For example, staff noticing when children have displayed their Character Strengths in lessons during the week.</w:t>
            </w:r>
          </w:p>
          <w:bookmarkEnd w:id="1"/>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We invite in outside agencies into school. For example, The Fire service undertake a fire safety talk with Year 2 and Year 6 children each year.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Active encouragement to use the techniques discussed at appropriate times, e.g. My Happy Breathing.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 xml:space="preserve">Videos and models used by teachers to bring to life more abstract themes and concepts, for example use of Emotion Works Cogs to </w:t>
            </w:r>
            <w:r>
              <w:rPr>
                <w:rFonts w:asciiTheme="majorHAnsi" w:hAnsiTheme="majorHAnsi" w:cstheme="majorHAnsi"/>
              </w:rPr>
              <w:lastRenderedPageBreak/>
              <w:t>explain how our emotions trigger body sensations and behaviours but we can use techniques to regulate ourselves.</w:t>
            </w:r>
          </w:p>
          <w:p>
            <w:pPr>
              <w:rPr>
                <w:rFonts w:asciiTheme="majorHAnsi" w:hAnsiTheme="majorHAnsi" w:cstheme="majorHAnsi"/>
              </w:rPr>
            </w:pPr>
          </w:p>
        </w:tc>
      </w:tr>
      <w:tr>
        <w:tc>
          <w:tcPr>
            <w:tcW w:w="3687" w:type="dxa"/>
          </w:tcPr>
          <w:p>
            <w:pPr>
              <w:rPr>
                <w:rFonts w:asciiTheme="majorHAnsi" w:hAnsiTheme="majorHAnsi" w:cstheme="majorHAnsi"/>
              </w:rPr>
            </w:pPr>
            <w:r>
              <w:rPr>
                <w:rFonts w:asciiTheme="majorHAnsi" w:hAnsiTheme="majorHAnsi" w:cstheme="majorHAnsi"/>
              </w:rPr>
              <w:lastRenderedPageBreak/>
              <w:t xml:space="preserve">Accessible subject specific language </w:t>
            </w:r>
          </w:p>
        </w:tc>
        <w:tc>
          <w:tcPr>
            <w:tcW w:w="6520" w:type="dxa"/>
          </w:tcPr>
          <w:p>
            <w:pPr>
              <w:rPr>
                <w:rFonts w:asciiTheme="majorHAnsi" w:hAnsiTheme="majorHAnsi" w:cstheme="majorHAnsi"/>
              </w:rPr>
            </w:pPr>
            <w:r>
              <w:rPr>
                <w:rFonts w:asciiTheme="majorHAnsi" w:hAnsiTheme="majorHAnsi" w:cstheme="majorHAnsi"/>
              </w:rPr>
              <w:t xml:space="preserve">Staff in all key stages do a pre-teach of key vocab prior to the topic and for some children, prior to lessons. </w:t>
            </w:r>
          </w:p>
          <w:p>
            <w:pPr>
              <w:rPr>
                <w:rFonts w:asciiTheme="majorHAnsi" w:hAnsiTheme="majorHAnsi" w:cstheme="majorHAnsi"/>
              </w:rPr>
            </w:pPr>
          </w:p>
          <w:p>
            <w:pPr>
              <w:rPr>
                <w:rFonts w:asciiTheme="majorHAnsi" w:hAnsiTheme="majorHAnsi" w:cstheme="majorHAnsi"/>
              </w:rPr>
            </w:pPr>
            <w:r>
              <w:rPr>
                <w:rFonts w:asciiTheme="majorHAnsi" w:hAnsiTheme="majorHAnsi" w:cstheme="majorHAnsi"/>
              </w:rPr>
              <w:t>Staff use clear calm tone of voice during the lesson input and cut out unnecessary waffle- key information is given in as multisensory a way as possible. Children are encouraged to use high level language independently within their work and discussions.</w:t>
            </w:r>
          </w:p>
        </w:tc>
      </w:tr>
      <w:tr>
        <w:tc>
          <w:tcPr>
            <w:tcW w:w="3687" w:type="dxa"/>
          </w:tcPr>
          <w:p>
            <w:pPr>
              <w:rPr>
                <w:rFonts w:asciiTheme="majorHAnsi" w:hAnsiTheme="majorHAnsi" w:cstheme="majorHAnsi"/>
              </w:rPr>
            </w:pPr>
            <w:r>
              <w:rPr>
                <w:rFonts w:asciiTheme="majorHAnsi" w:hAnsiTheme="majorHAnsi" w:cstheme="majorHAnsi"/>
              </w:rPr>
              <w:t>Thematic approaches used to aid engagement.</w:t>
            </w:r>
          </w:p>
        </w:tc>
        <w:tc>
          <w:tcPr>
            <w:tcW w:w="6520" w:type="dxa"/>
          </w:tcPr>
          <w:p>
            <w:pPr>
              <w:shd w:val="clear" w:color="auto" w:fill="FFFFFF"/>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Teachers make specific links to, and within, other curriculum areas to reinforce the concepts discussed. Examples include: </w:t>
            </w:r>
          </w:p>
          <w:p>
            <w:pPr>
              <w:shd w:val="clear" w:color="auto" w:fill="FFFFFF"/>
              <w:textAlignment w:val="baseline"/>
              <w:rPr>
                <w:rFonts w:asciiTheme="majorHAnsi" w:eastAsia="Times New Roman" w:hAnsiTheme="majorHAnsi" w:cstheme="majorHAnsi"/>
                <w:lang w:eastAsia="en-GB"/>
              </w:rPr>
            </w:pPr>
          </w:p>
          <w:p>
            <w:pPr>
              <w:shd w:val="clear" w:color="auto" w:fill="FFFFFF"/>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wow moments such as outside experts, real life visitors- scientists or animals etc…. Teachers use videos or music (during the sound unit) to set the scene and generate excitement and interest. Teachers use of movement through a</w:t>
            </w:r>
            <w:r>
              <w:rPr>
                <w:rFonts w:asciiTheme="majorHAnsi" w:hAnsiTheme="majorHAnsi" w:cstheme="majorHAnsi"/>
              </w:rPr>
              <w:t>ctive exploration of resources and real-life experiences and investigations.</w:t>
            </w:r>
          </w:p>
          <w:p>
            <w:pPr>
              <w:rPr>
                <w:rFonts w:asciiTheme="majorHAnsi" w:hAnsiTheme="majorHAnsi" w:cstheme="majorHAnsi"/>
              </w:rPr>
            </w:pPr>
          </w:p>
        </w:tc>
      </w:tr>
      <w:tr>
        <w:tc>
          <w:tcPr>
            <w:tcW w:w="3687" w:type="dxa"/>
          </w:tcPr>
          <w:p>
            <w:pPr>
              <w:rPr>
                <w:rFonts w:asciiTheme="majorHAnsi" w:hAnsiTheme="majorHAnsi" w:cstheme="majorHAnsi"/>
              </w:rPr>
            </w:pPr>
            <w:r>
              <w:rPr>
                <w:rFonts w:asciiTheme="majorHAnsi" w:hAnsiTheme="majorHAnsi" w:cstheme="majorHAnsi"/>
              </w:rPr>
              <w:t>Relationships at the heart of lessons</w:t>
            </w:r>
          </w:p>
        </w:tc>
        <w:tc>
          <w:tcPr>
            <w:tcW w:w="6520" w:type="dxa"/>
          </w:tcPr>
          <w:p>
            <w:pPr>
              <w:rPr>
                <w:rFonts w:asciiTheme="majorHAnsi" w:hAnsiTheme="majorHAnsi" w:cstheme="majorHAnsi"/>
              </w:rPr>
            </w:pPr>
            <w:r>
              <w:rPr>
                <w:rFonts w:asciiTheme="majorHAnsi" w:hAnsiTheme="majorHAnsi" w:cstheme="majorHAnsi"/>
              </w:rPr>
              <w:t>Children feel safe and secure- all children are engaged and excited about the work they do in Science- especially the hands-on active nature of this subject. Children feel safe to take risks and put forward their opinion which moves their learning on.</w:t>
            </w:r>
          </w:p>
        </w:tc>
      </w:tr>
    </w:tbl>
    <w:p/>
    <w:p/>
    <w:p/>
    <w:p>
      <w:pPr>
        <w:spacing w:after="0" w:line="240" w:lineRule="auto"/>
        <w:rPr>
          <w:rFonts w:asciiTheme="majorHAnsi" w:hAnsiTheme="majorHAnsi" w:cstheme="majorHAnsi"/>
          <w:u w:val="single"/>
        </w:rPr>
      </w:pPr>
      <w:r>
        <w:rPr>
          <w:rFonts w:asciiTheme="majorHAnsi" w:hAnsiTheme="majorHAnsi" w:cstheme="majorHAnsi"/>
          <w:u w:val="single"/>
        </w:rPr>
        <w:t>Inclusive teaching in RSHE</w:t>
      </w:r>
    </w:p>
    <w:p>
      <w:pPr>
        <w:spacing w:after="0" w:line="240" w:lineRule="auto"/>
        <w:rPr>
          <w:rFonts w:asciiTheme="majorHAnsi" w:hAnsiTheme="majorHAnsi" w:cstheme="majorHAnsi"/>
        </w:rPr>
      </w:pPr>
    </w:p>
    <w:p>
      <w:pPr>
        <w:rPr>
          <w:rFonts w:asciiTheme="majorHAnsi" w:hAnsiTheme="majorHAnsi" w:cstheme="majorHAnsi"/>
        </w:rPr>
      </w:pPr>
      <w:r>
        <w:rPr>
          <w:rFonts w:asciiTheme="majorHAnsi" w:hAnsiTheme="majorHAnsi" w:cstheme="majorHAnsi"/>
        </w:rPr>
        <w:t>RSHE is taught on a whole class level using multi-sensory approaches. Teachers across school provide real-life experiences to engage our children and provide a real-life context to their learning in class. For example, when exploring the Wheel of Gratitude children think about their time in school during the previous week and what they are grateful for. This enables staff to fully understand the experiences children have and encourage them to identify with activities they have enjoyed.</w:t>
      </w:r>
    </w:p>
    <w:p>
      <w:pPr>
        <w:spacing w:after="0" w:line="240" w:lineRule="auto"/>
        <w:rPr>
          <w:rFonts w:asciiTheme="majorHAnsi" w:eastAsiaTheme="minorEastAsia" w:hAnsiTheme="majorHAnsi" w:cstheme="majorHAnsi"/>
          <w:color w:val="000000" w:themeColor="text1"/>
          <w:kern w:val="24"/>
          <w:lang w:eastAsia="en-GB"/>
        </w:rPr>
      </w:pPr>
      <w:r>
        <w:rPr>
          <w:rFonts w:asciiTheme="majorHAnsi" w:eastAsiaTheme="minorEastAsia" w:hAnsiTheme="majorHAnsi" w:cstheme="majorHAnsi"/>
          <w:color w:val="000000" w:themeColor="text1"/>
          <w:kern w:val="24"/>
          <w:lang w:eastAsia="en-GB"/>
        </w:rPr>
        <w:t>The delivery of RSHE is inclusive and accessible throughout school and teaching in every class ensures a low entry-high ceiling approach</w:t>
      </w:r>
      <w:r>
        <w:rPr>
          <w:rFonts w:asciiTheme="majorHAnsi" w:eastAsia="Times New Roman" w:hAnsiTheme="majorHAnsi" w:cstheme="majorHAnsi"/>
          <w:lang w:eastAsia="en-GB"/>
        </w:rPr>
        <w:t xml:space="preserve">. RSHE MT Planning follows My Happy Mind+ units which ensures the </w:t>
      </w:r>
      <w:r>
        <w:rPr>
          <w:rFonts w:asciiTheme="majorHAnsi" w:eastAsiaTheme="minorEastAsia" w:hAnsiTheme="majorHAnsi" w:cstheme="majorHAnsi"/>
          <w:color w:val="000000" w:themeColor="text1"/>
          <w:kern w:val="24"/>
          <w:lang w:eastAsia="en-GB"/>
        </w:rPr>
        <w:t>content is sequenced in a way that provides cognitive links for children’s long-term memory.</w:t>
      </w:r>
      <w:r>
        <w:rPr>
          <w:rFonts w:asciiTheme="majorHAnsi" w:eastAsia="Times New Roman" w:hAnsiTheme="majorHAnsi" w:cstheme="majorHAnsi"/>
          <w:lang w:eastAsia="en-GB"/>
        </w:rPr>
        <w:t xml:space="preserve"> </w:t>
      </w:r>
      <w:r>
        <w:rPr>
          <w:rFonts w:asciiTheme="majorHAnsi" w:eastAsiaTheme="minorEastAsia" w:hAnsiTheme="majorHAnsi" w:cstheme="majorHAnsi"/>
          <w:color w:val="000000" w:themeColor="text1"/>
          <w:kern w:val="24"/>
          <w:lang w:eastAsia="en-GB"/>
        </w:rPr>
        <w:t>Teaching strategies maximise working memory and avoid cognitive overload by linking to prior knowledge and using multisensory experiences. Explicit links are made across other curricular areas, particularly RE and Science, as identified in the curricular links document.</w:t>
      </w:r>
    </w:p>
    <w:p>
      <w:pPr>
        <w:spacing w:after="0" w:line="240" w:lineRule="auto"/>
        <w:rPr>
          <w:rFonts w:asciiTheme="majorHAnsi" w:eastAsia="Times New Roman" w:hAnsiTheme="majorHAnsi" w:cstheme="majorHAnsi"/>
          <w:lang w:eastAsia="en-GB"/>
        </w:rPr>
      </w:pPr>
    </w:p>
    <w:p>
      <w:pPr>
        <w:spacing w:after="0" w:line="240" w:lineRule="auto"/>
        <w:rPr>
          <w:rFonts w:asciiTheme="majorHAnsi" w:eastAsia="Times New Roman" w:hAnsiTheme="majorHAnsi" w:cstheme="majorHAnsi"/>
          <w:lang w:eastAsia="en-GB"/>
        </w:rPr>
      </w:pPr>
      <w:r>
        <w:rPr>
          <w:rFonts w:asciiTheme="majorHAnsi" w:eastAsia="Times New Roman" w:hAnsiTheme="majorHAnsi" w:cstheme="majorHAnsi"/>
          <w:lang w:eastAsia="en-GB"/>
        </w:rPr>
        <w:t>When either children’s behaviours or their responses to particular units of work signify that 1:1 or small group intervention would be beneficial, the teacher will complete a referral to the Pastoral support team.</w:t>
      </w:r>
    </w:p>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18D1"/>
    <w:multiLevelType w:val="hybridMultilevel"/>
    <w:tmpl w:val="96B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22214"/>
    <w:multiLevelType w:val="hybridMultilevel"/>
    <w:tmpl w:val="424EF970"/>
    <w:lvl w:ilvl="0" w:tplc="FFE0E92A">
      <w:start w:val="1"/>
      <w:numFmt w:val="bullet"/>
      <w:lvlText w:val="•"/>
      <w:lvlJc w:val="left"/>
      <w:pPr>
        <w:tabs>
          <w:tab w:val="num" w:pos="720"/>
        </w:tabs>
        <w:ind w:left="720" w:hanging="360"/>
      </w:pPr>
      <w:rPr>
        <w:rFonts w:ascii="Arial" w:hAnsi="Arial" w:hint="default"/>
      </w:rPr>
    </w:lvl>
    <w:lvl w:ilvl="1" w:tplc="94EA7570" w:tentative="1">
      <w:start w:val="1"/>
      <w:numFmt w:val="bullet"/>
      <w:lvlText w:val="•"/>
      <w:lvlJc w:val="left"/>
      <w:pPr>
        <w:tabs>
          <w:tab w:val="num" w:pos="1440"/>
        </w:tabs>
        <w:ind w:left="1440" w:hanging="360"/>
      </w:pPr>
      <w:rPr>
        <w:rFonts w:ascii="Arial" w:hAnsi="Arial" w:hint="default"/>
      </w:rPr>
    </w:lvl>
    <w:lvl w:ilvl="2" w:tplc="D8E2173C" w:tentative="1">
      <w:start w:val="1"/>
      <w:numFmt w:val="bullet"/>
      <w:lvlText w:val="•"/>
      <w:lvlJc w:val="left"/>
      <w:pPr>
        <w:tabs>
          <w:tab w:val="num" w:pos="2160"/>
        </w:tabs>
        <w:ind w:left="2160" w:hanging="360"/>
      </w:pPr>
      <w:rPr>
        <w:rFonts w:ascii="Arial" w:hAnsi="Arial" w:hint="default"/>
      </w:rPr>
    </w:lvl>
    <w:lvl w:ilvl="3" w:tplc="D0D8766C" w:tentative="1">
      <w:start w:val="1"/>
      <w:numFmt w:val="bullet"/>
      <w:lvlText w:val="•"/>
      <w:lvlJc w:val="left"/>
      <w:pPr>
        <w:tabs>
          <w:tab w:val="num" w:pos="2880"/>
        </w:tabs>
        <w:ind w:left="2880" w:hanging="360"/>
      </w:pPr>
      <w:rPr>
        <w:rFonts w:ascii="Arial" w:hAnsi="Arial" w:hint="default"/>
      </w:rPr>
    </w:lvl>
    <w:lvl w:ilvl="4" w:tplc="8800D30C" w:tentative="1">
      <w:start w:val="1"/>
      <w:numFmt w:val="bullet"/>
      <w:lvlText w:val="•"/>
      <w:lvlJc w:val="left"/>
      <w:pPr>
        <w:tabs>
          <w:tab w:val="num" w:pos="3600"/>
        </w:tabs>
        <w:ind w:left="3600" w:hanging="360"/>
      </w:pPr>
      <w:rPr>
        <w:rFonts w:ascii="Arial" w:hAnsi="Arial" w:hint="default"/>
      </w:rPr>
    </w:lvl>
    <w:lvl w:ilvl="5" w:tplc="27F6572A" w:tentative="1">
      <w:start w:val="1"/>
      <w:numFmt w:val="bullet"/>
      <w:lvlText w:val="•"/>
      <w:lvlJc w:val="left"/>
      <w:pPr>
        <w:tabs>
          <w:tab w:val="num" w:pos="4320"/>
        </w:tabs>
        <w:ind w:left="4320" w:hanging="360"/>
      </w:pPr>
      <w:rPr>
        <w:rFonts w:ascii="Arial" w:hAnsi="Arial" w:hint="default"/>
      </w:rPr>
    </w:lvl>
    <w:lvl w:ilvl="6" w:tplc="420AC45E" w:tentative="1">
      <w:start w:val="1"/>
      <w:numFmt w:val="bullet"/>
      <w:lvlText w:val="•"/>
      <w:lvlJc w:val="left"/>
      <w:pPr>
        <w:tabs>
          <w:tab w:val="num" w:pos="5040"/>
        </w:tabs>
        <w:ind w:left="5040" w:hanging="360"/>
      </w:pPr>
      <w:rPr>
        <w:rFonts w:ascii="Arial" w:hAnsi="Arial" w:hint="default"/>
      </w:rPr>
    </w:lvl>
    <w:lvl w:ilvl="7" w:tplc="DA4067A6" w:tentative="1">
      <w:start w:val="1"/>
      <w:numFmt w:val="bullet"/>
      <w:lvlText w:val="•"/>
      <w:lvlJc w:val="left"/>
      <w:pPr>
        <w:tabs>
          <w:tab w:val="num" w:pos="5760"/>
        </w:tabs>
        <w:ind w:left="5760" w:hanging="360"/>
      </w:pPr>
      <w:rPr>
        <w:rFonts w:ascii="Arial" w:hAnsi="Arial" w:hint="default"/>
      </w:rPr>
    </w:lvl>
    <w:lvl w:ilvl="8" w:tplc="D1FEB0F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8D0F3C-057F-4DD9-BCFD-95EC1862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6207">
      <w:bodyDiv w:val="1"/>
      <w:marLeft w:val="0"/>
      <w:marRight w:val="0"/>
      <w:marTop w:val="0"/>
      <w:marBottom w:val="0"/>
      <w:divBdr>
        <w:top w:val="none" w:sz="0" w:space="0" w:color="auto"/>
        <w:left w:val="none" w:sz="0" w:space="0" w:color="auto"/>
        <w:bottom w:val="none" w:sz="0" w:space="0" w:color="auto"/>
        <w:right w:val="none" w:sz="0" w:space="0" w:color="auto"/>
      </w:divBdr>
      <w:divsChild>
        <w:div w:id="290675175">
          <w:marLeft w:val="547"/>
          <w:marRight w:val="0"/>
          <w:marTop w:val="0"/>
          <w:marBottom w:val="0"/>
          <w:divBdr>
            <w:top w:val="none" w:sz="0" w:space="0" w:color="auto"/>
            <w:left w:val="none" w:sz="0" w:space="0" w:color="auto"/>
            <w:bottom w:val="none" w:sz="0" w:space="0" w:color="auto"/>
            <w:right w:val="none" w:sz="0" w:space="0" w:color="auto"/>
          </w:divBdr>
        </w:div>
        <w:div w:id="411583617">
          <w:marLeft w:val="547"/>
          <w:marRight w:val="0"/>
          <w:marTop w:val="0"/>
          <w:marBottom w:val="0"/>
          <w:divBdr>
            <w:top w:val="none" w:sz="0" w:space="0" w:color="auto"/>
            <w:left w:val="none" w:sz="0" w:space="0" w:color="auto"/>
            <w:bottom w:val="none" w:sz="0" w:space="0" w:color="auto"/>
            <w:right w:val="none" w:sz="0" w:space="0" w:color="auto"/>
          </w:divBdr>
        </w:div>
        <w:div w:id="1933784324">
          <w:marLeft w:val="547"/>
          <w:marRight w:val="0"/>
          <w:marTop w:val="0"/>
          <w:marBottom w:val="0"/>
          <w:divBdr>
            <w:top w:val="none" w:sz="0" w:space="0" w:color="auto"/>
            <w:left w:val="none" w:sz="0" w:space="0" w:color="auto"/>
            <w:bottom w:val="none" w:sz="0" w:space="0" w:color="auto"/>
            <w:right w:val="none" w:sz="0" w:space="0" w:color="auto"/>
          </w:divBdr>
        </w:div>
      </w:divsChild>
    </w:div>
    <w:div w:id="1813450234">
      <w:bodyDiv w:val="1"/>
      <w:marLeft w:val="0"/>
      <w:marRight w:val="0"/>
      <w:marTop w:val="0"/>
      <w:marBottom w:val="0"/>
      <w:divBdr>
        <w:top w:val="none" w:sz="0" w:space="0" w:color="auto"/>
        <w:left w:val="none" w:sz="0" w:space="0" w:color="auto"/>
        <w:bottom w:val="none" w:sz="0" w:space="0" w:color="auto"/>
        <w:right w:val="none" w:sz="0" w:space="0" w:color="auto"/>
      </w:divBdr>
      <w:divsChild>
        <w:div w:id="325325458">
          <w:marLeft w:val="0"/>
          <w:marRight w:val="0"/>
          <w:marTop w:val="0"/>
          <w:marBottom w:val="0"/>
          <w:divBdr>
            <w:top w:val="none" w:sz="0" w:space="0" w:color="auto"/>
            <w:left w:val="none" w:sz="0" w:space="0" w:color="auto"/>
            <w:bottom w:val="none" w:sz="0" w:space="0" w:color="auto"/>
            <w:right w:val="none" w:sz="0" w:space="0" w:color="auto"/>
          </w:divBdr>
        </w:div>
        <w:div w:id="923346181">
          <w:marLeft w:val="0"/>
          <w:marRight w:val="0"/>
          <w:marTop w:val="0"/>
          <w:marBottom w:val="0"/>
          <w:divBdr>
            <w:top w:val="none" w:sz="0" w:space="0" w:color="auto"/>
            <w:left w:val="none" w:sz="0" w:space="0" w:color="auto"/>
            <w:bottom w:val="none" w:sz="0" w:space="0" w:color="auto"/>
            <w:right w:val="none" w:sz="0" w:space="0" w:color="auto"/>
          </w:divBdr>
        </w:div>
        <w:div w:id="1005403157">
          <w:marLeft w:val="0"/>
          <w:marRight w:val="0"/>
          <w:marTop w:val="0"/>
          <w:marBottom w:val="0"/>
          <w:divBdr>
            <w:top w:val="none" w:sz="0" w:space="0" w:color="auto"/>
            <w:left w:val="none" w:sz="0" w:space="0" w:color="auto"/>
            <w:bottom w:val="none" w:sz="0" w:space="0" w:color="auto"/>
            <w:right w:val="none" w:sz="0" w:space="0" w:color="auto"/>
          </w:divBdr>
        </w:div>
        <w:div w:id="1261838200">
          <w:marLeft w:val="0"/>
          <w:marRight w:val="0"/>
          <w:marTop w:val="0"/>
          <w:marBottom w:val="0"/>
          <w:divBdr>
            <w:top w:val="none" w:sz="0" w:space="0" w:color="auto"/>
            <w:left w:val="none" w:sz="0" w:space="0" w:color="auto"/>
            <w:bottom w:val="none" w:sz="0" w:space="0" w:color="auto"/>
            <w:right w:val="none" w:sz="0" w:space="0" w:color="auto"/>
          </w:divBdr>
        </w:div>
        <w:div w:id="1444114292">
          <w:marLeft w:val="0"/>
          <w:marRight w:val="0"/>
          <w:marTop w:val="0"/>
          <w:marBottom w:val="0"/>
          <w:divBdr>
            <w:top w:val="none" w:sz="0" w:space="0" w:color="auto"/>
            <w:left w:val="none" w:sz="0" w:space="0" w:color="auto"/>
            <w:bottom w:val="none" w:sz="0" w:space="0" w:color="auto"/>
            <w:right w:val="none" w:sz="0" w:space="0" w:color="auto"/>
          </w:divBdr>
        </w:div>
        <w:div w:id="1617174384">
          <w:marLeft w:val="0"/>
          <w:marRight w:val="0"/>
          <w:marTop w:val="0"/>
          <w:marBottom w:val="0"/>
          <w:divBdr>
            <w:top w:val="none" w:sz="0" w:space="0" w:color="auto"/>
            <w:left w:val="none" w:sz="0" w:space="0" w:color="auto"/>
            <w:bottom w:val="none" w:sz="0" w:space="0" w:color="auto"/>
            <w:right w:val="none" w:sz="0" w:space="0" w:color="auto"/>
          </w:divBdr>
        </w:div>
        <w:div w:id="1767265442">
          <w:marLeft w:val="0"/>
          <w:marRight w:val="0"/>
          <w:marTop w:val="0"/>
          <w:marBottom w:val="0"/>
          <w:divBdr>
            <w:top w:val="none" w:sz="0" w:space="0" w:color="auto"/>
            <w:left w:val="none" w:sz="0" w:space="0" w:color="auto"/>
            <w:bottom w:val="none" w:sz="0" w:space="0" w:color="auto"/>
            <w:right w:val="none" w:sz="0" w:space="0" w:color="auto"/>
          </w:divBdr>
        </w:div>
        <w:div w:id="2091922972">
          <w:marLeft w:val="0"/>
          <w:marRight w:val="0"/>
          <w:marTop w:val="0"/>
          <w:marBottom w:val="0"/>
          <w:divBdr>
            <w:top w:val="none" w:sz="0" w:space="0" w:color="auto"/>
            <w:left w:val="none" w:sz="0" w:space="0" w:color="auto"/>
            <w:bottom w:val="none" w:sz="0" w:space="0" w:color="auto"/>
            <w:right w:val="none" w:sz="0" w:space="0" w:color="auto"/>
          </w:divBdr>
        </w:div>
        <w:div w:id="212684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12008, head</cp:lastModifiedBy>
  <cp:revision>1</cp:revision>
  <cp:lastPrinted>2024-02-28T12:48:00Z</cp:lastPrinted>
  <dcterms:created xsi:type="dcterms:W3CDTF">2025-06-12T09:23:00Z</dcterms:created>
  <dcterms:modified xsi:type="dcterms:W3CDTF">2025-06-13T08:40:00Z</dcterms:modified>
</cp:coreProperties>
</file>