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6CC58D6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098"/>
        <w:gridCol w:w="4388"/>
      </w:tblGrid>
      <w:tr w:rsidR="00E66558" w14:paraId="2A7D54B7"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4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8B29CAF" w:rsidR="00E66558" w:rsidRDefault="00F8546E">
            <w:pPr>
              <w:pStyle w:val="TableRow"/>
            </w:pPr>
            <w:r>
              <w:t>Padiham St Leonard’s CE VA Primary</w:t>
            </w:r>
          </w:p>
        </w:tc>
      </w:tr>
      <w:tr w:rsidR="00E66558" w14:paraId="2A7D54BD"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F7A90A8" w:rsidR="00E66558" w:rsidRDefault="00E62288">
            <w:pPr>
              <w:pStyle w:val="TableRow"/>
            </w:pPr>
            <w:r>
              <w:t>305</w:t>
            </w:r>
          </w:p>
        </w:tc>
      </w:tr>
      <w:tr w:rsidR="00E66558" w14:paraId="2A7D54C0"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C00F542" w:rsidR="00E66558" w:rsidRDefault="00E62288">
            <w:pPr>
              <w:pStyle w:val="TableRow"/>
            </w:pPr>
            <w:r>
              <w:t>33%</w:t>
            </w:r>
          </w:p>
        </w:tc>
      </w:tr>
      <w:tr w:rsidR="00E66558" w14:paraId="2A7D54C3"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0D6AB67" w:rsidR="00E66558" w:rsidRDefault="00E62288">
            <w:pPr>
              <w:pStyle w:val="TableRow"/>
            </w:pPr>
            <w:r>
              <w:t>2021/22, 2022/23, 2023/24</w:t>
            </w:r>
          </w:p>
        </w:tc>
      </w:tr>
      <w:tr w:rsidR="00E66558" w14:paraId="2A7D54C6"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04C14CB" w:rsidR="00F81753" w:rsidRDefault="00F81753" w:rsidP="00F81753">
            <w:pPr>
              <w:pStyle w:val="TableRow"/>
            </w:pPr>
            <w:r>
              <w:t>09</w:t>
            </w:r>
            <w:r w:rsidRPr="00F81753">
              <w:rPr>
                <w:vertAlign w:val="superscript"/>
              </w:rPr>
              <w:t>th</w:t>
            </w:r>
            <w:r>
              <w:t xml:space="preserve"> December 2021</w:t>
            </w:r>
          </w:p>
        </w:tc>
      </w:tr>
      <w:tr w:rsidR="00E66558" w14:paraId="2A7D54C9"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DC8BCD0" w:rsidR="00E66558" w:rsidRDefault="00311575">
            <w:pPr>
              <w:pStyle w:val="TableRow"/>
            </w:pPr>
            <w:r>
              <w:t>Sept 2022</w:t>
            </w:r>
          </w:p>
        </w:tc>
      </w:tr>
      <w:tr w:rsidR="00E66558" w14:paraId="2A7D54CC"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442C51C" w:rsidR="00E66558" w:rsidRDefault="00F81753">
            <w:pPr>
              <w:pStyle w:val="TableRow"/>
            </w:pPr>
            <w:r>
              <w:t>Full Governing Body</w:t>
            </w:r>
            <w:bookmarkStart w:id="14" w:name="_GoBack"/>
            <w:bookmarkEnd w:id="14"/>
          </w:p>
        </w:tc>
      </w:tr>
      <w:tr w:rsidR="00E66558" w14:paraId="2A7D54CF"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74B4D5B" w:rsidR="00E66558" w:rsidRDefault="00E62288">
            <w:pPr>
              <w:pStyle w:val="TableRow"/>
            </w:pPr>
            <w:r>
              <w:t>Bev Holmes</w:t>
            </w:r>
          </w:p>
        </w:tc>
      </w:tr>
      <w:tr w:rsidR="00E66558" w14:paraId="2A7D54D2" w14:textId="77777777" w:rsidTr="00052A2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2644493" w:rsidR="00E66558" w:rsidRDefault="00E62288">
            <w:pPr>
              <w:pStyle w:val="TableRow"/>
            </w:pPr>
            <w:r>
              <w:t>Kit Walker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3E81B5E" w:rsidR="00E66558" w:rsidRDefault="009D71E8">
            <w:pPr>
              <w:pStyle w:val="TableRow"/>
            </w:pPr>
            <w:r>
              <w:t>£</w:t>
            </w:r>
            <w:r w:rsidR="00F8546E">
              <w:t>114,185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172DE38" w:rsidR="00E66558" w:rsidRDefault="009D71E8">
            <w:pPr>
              <w:pStyle w:val="TableRow"/>
            </w:pPr>
            <w:r>
              <w:t>£</w:t>
            </w:r>
            <w:r w:rsidR="00E62288">
              <w:t>14,645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7777777" w:rsidR="00E66558" w:rsidRDefault="009D71E8">
            <w:pPr>
              <w:pStyle w:val="TableRow"/>
            </w:pPr>
            <w:r>
              <w:t>£</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52976F4" w:rsidR="00F45CC4" w:rsidRDefault="009D71E8" w:rsidP="00F45CC4">
            <w:pPr>
              <w:pStyle w:val="TableRow"/>
            </w:pPr>
            <w:r>
              <w:t>£</w:t>
            </w:r>
            <w:r w:rsidR="00F45CC4">
              <w:t>128,830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776" w:type="dxa"/>
        <w:tblCellMar>
          <w:left w:w="10" w:type="dxa"/>
          <w:right w:w="10" w:type="dxa"/>
        </w:tblCellMar>
        <w:tblLook w:val="04A0" w:firstRow="1" w:lastRow="0" w:firstColumn="1" w:lastColumn="0" w:noHBand="0" w:noVBand="1"/>
      </w:tblPr>
      <w:tblGrid>
        <w:gridCol w:w="9776"/>
      </w:tblGrid>
      <w:tr w:rsidR="00E66558" w14:paraId="2A7D54EA" w14:textId="77777777" w:rsidTr="00215AAF">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6A91" w14:textId="77777777" w:rsidR="00A070B0" w:rsidRDefault="00A070B0" w:rsidP="0032422E">
            <w:pPr>
              <w:pStyle w:val="Default"/>
              <w:jc w:val="both"/>
              <w:rPr>
                <w:rFonts w:ascii="Trebuchet MS" w:hAnsi="Trebuchet MS"/>
                <w:sz w:val="22"/>
                <w:szCs w:val="22"/>
              </w:rPr>
            </w:pPr>
            <w:r w:rsidRPr="001F0D2B">
              <w:rPr>
                <w:rFonts w:ascii="Trebuchet MS" w:hAnsi="Trebuchet MS"/>
                <w:sz w:val="22"/>
                <w:szCs w:val="22"/>
              </w:rPr>
              <w:t xml:space="preserve">At Padiham St Leonard’s CE VA Primary School, </w:t>
            </w:r>
            <w:r>
              <w:rPr>
                <w:rFonts w:ascii="Trebuchet MS" w:hAnsi="Trebuchet MS"/>
                <w:sz w:val="22"/>
                <w:szCs w:val="22"/>
              </w:rPr>
              <w:t>justice</w:t>
            </w:r>
            <w:r w:rsidRPr="001F0D2B">
              <w:rPr>
                <w:rFonts w:ascii="Trebuchet MS" w:hAnsi="Trebuchet MS"/>
                <w:sz w:val="22"/>
                <w:szCs w:val="22"/>
              </w:rPr>
              <w:t xml:space="preserve"> is priority. Therefore, we aim to ensure that our teaching and learning meets the needs of </w:t>
            </w:r>
            <w:r w:rsidRPr="001F0D2B">
              <w:rPr>
                <w:rFonts w:ascii="Trebuchet MS" w:hAnsi="Trebuchet MS"/>
                <w:b/>
                <w:sz w:val="22"/>
                <w:szCs w:val="22"/>
              </w:rPr>
              <w:t>all</w:t>
            </w:r>
            <w:r w:rsidRPr="001F0D2B">
              <w:rPr>
                <w:rFonts w:ascii="Trebuchet MS" w:hAnsi="Trebuchet MS"/>
                <w:sz w:val="22"/>
                <w:szCs w:val="22"/>
              </w:rPr>
              <w:t xml:space="preserve"> pupils and enables them to reach their </w:t>
            </w:r>
            <w:r>
              <w:rPr>
                <w:rFonts w:ascii="Trebuchet MS" w:hAnsi="Trebuchet MS"/>
                <w:sz w:val="22"/>
                <w:szCs w:val="22"/>
              </w:rPr>
              <w:t>God-given</w:t>
            </w:r>
            <w:r w:rsidRPr="001F0D2B">
              <w:rPr>
                <w:rFonts w:ascii="Trebuchet MS" w:hAnsi="Trebuchet MS"/>
                <w:sz w:val="22"/>
                <w:szCs w:val="22"/>
              </w:rPr>
              <w:t xml:space="preserve"> potential. </w:t>
            </w:r>
          </w:p>
          <w:p w14:paraId="0CEF03A3" w14:textId="77777777" w:rsidR="00A070B0" w:rsidRDefault="00A070B0" w:rsidP="0032422E">
            <w:pPr>
              <w:pStyle w:val="Default"/>
              <w:jc w:val="both"/>
              <w:rPr>
                <w:rFonts w:ascii="Trebuchet MS" w:hAnsi="Trebuchet MS"/>
                <w:sz w:val="22"/>
                <w:szCs w:val="22"/>
              </w:rPr>
            </w:pPr>
            <w:r>
              <w:rPr>
                <w:rFonts w:ascii="Trebuchet MS" w:hAnsi="Trebuchet MS"/>
                <w:sz w:val="22"/>
                <w:szCs w:val="22"/>
              </w:rPr>
              <w:t xml:space="preserve">Our trust deed states </w:t>
            </w:r>
            <w:r w:rsidRPr="001E7C16">
              <w:rPr>
                <w:rFonts w:ascii="Trebuchet MS" w:hAnsi="Trebuchet MS"/>
                <w:color w:val="212121"/>
                <w:sz w:val="22"/>
                <w:szCs w:val="22"/>
                <w:shd w:val="clear" w:color="auto" w:fill="FFFFFF"/>
              </w:rPr>
              <w:t xml:space="preserve">that </w:t>
            </w:r>
            <w:r>
              <w:rPr>
                <w:rFonts w:ascii="Trebuchet MS" w:hAnsi="Trebuchet MS"/>
                <w:color w:val="212121"/>
                <w:sz w:val="22"/>
                <w:szCs w:val="22"/>
                <w:shd w:val="clear" w:color="auto" w:fill="FFFFFF"/>
              </w:rPr>
              <w:t>our school</w:t>
            </w:r>
            <w:r w:rsidRPr="001E7C16">
              <w:rPr>
                <w:rFonts w:ascii="Trebuchet MS" w:hAnsi="Trebuchet MS"/>
                <w:color w:val="212121"/>
                <w:sz w:val="22"/>
                <w:szCs w:val="22"/>
                <w:shd w:val="clear" w:color="auto" w:fill="FFFFFF"/>
              </w:rPr>
              <w:t xml:space="preserve"> should be used ‘as a school for the poor inhabitants of the township of Padiham and neighbourhood and this school should always be in union with the National Society’.</w:t>
            </w:r>
            <w:r>
              <w:rPr>
                <w:rFonts w:ascii="Trebuchet MS" w:hAnsi="Trebuchet MS"/>
                <w:sz w:val="22"/>
                <w:szCs w:val="22"/>
              </w:rPr>
              <w:t xml:space="preserve"> </w:t>
            </w:r>
            <w:r w:rsidRPr="001F0D2B">
              <w:rPr>
                <w:rFonts w:ascii="Trebuchet MS" w:hAnsi="Trebuchet MS"/>
                <w:sz w:val="22"/>
                <w:szCs w:val="22"/>
              </w:rPr>
              <w:t xml:space="preserve">We are </w:t>
            </w:r>
            <w:r>
              <w:rPr>
                <w:rFonts w:ascii="Trebuchet MS" w:hAnsi="Trebuchet MS"/>
                <w:sz w:val="22"/>
                <w:szCs w:val="22"/>
              </w:rPr>
              <w:t>therefore</w:t>
            </w:r>
            <w:r w:rsidRPr="001F0D2B">
              <w:rPr>
                <w:rFonts w:ascii="Trebuchet MS" w:hAnsi="Trebuchet MS"/>
                <w:sz w:val="22"/>
                <w:szCs w:val="22"/>
              </w:rPr>
              <w:t xml:space="preserve"> dedicated to ensuring that pupils who belong to vulnerable groups receive the appropriate provision to meet their needs whatever their funding. </w:t>
            </w:r>
          </w:p>
          <w:p w14:paraId="2F21D6E8" w14:textId="3D01198D" w:rsidR="00A070B0" w:rsidRPr="00A070B0" w:rsidRDefault="00A070B0" w:rsidP="0032422E">
            <w:pPr>
              <w:spacing w:before="120"/>
              <w:jc w:val="both"/>
              <w:rPr>
                <w:rFonts w:ascii="Trebuchet MS" w:hAnsi="Trebuchet MS"/>
                <w:color w:val="auto"/>
                <w:sz w:val="22"/>
                <w:szCs w:val="22"/>
              </w:rPr>
            </w:pPr>
            <w:r w:rsidRPr="001F0D2B">
              <w:rPr>
                <w:rFonts w:ascii="Trebuchet MS" w:hAnsi="Trebuchet MS"/>
                <w:sz w:val="22"/>
                <w:szCs w:val="22"/>
              </w:rPr>
              <w:t xml:space="preserve">The </w:t>
            </w:r>
            <w:r w:rsidRPr="001F0D2B">
              <w:rPr>
                <w:rFonts w:ascii="Trebuchet MS" w:hAnsi="Trebuchet MS"/>
                <w:color w:val="auto"/>
                <w:sz w:val="22"/>
                <w:szCs w:val="22"/>
              </w:rPr>
              <w:t>pupil premium will be used to provide additional support to improve the progress and raise standard</w:t>
            </w:r>
            <w:r>
              <w:rPr>
                <w:rFonts w:ascii="Trebuchet MS" w:hAnsi="Trebuchet MS"/>
                <w:color w:val="auto"/>
                <w:sz w:val="22"/>
                <w:szCs w:val="22"/>
              </w:rPr>
              <w:t>s</w:t>
            </w:r>
            <w:r w:rsidRPr="001F0D2B">
              <w:rPr>
                <w:rFonts w:ascii="Trebuchet MS" w:hAnsi="Trebuchet MS"/>
                <w:color w:val="auto"/>
                <w:sz w:val="22"/>
                <w:szCs w:val="22"/>
              </w:rPr>
              <w:t xml:space="preserve"> of achievement for these pupils. The funding will be used to narrow and close the gap between the achievement of these pupils and their peers. In addition, it will be used to address social disadvantage and enrich the children’s lives</w:t>
            </w:r>
            <w:r>
              <w:rPr>
                <w:rFonts w:ascii="Trebuchet MS" w:hAnsi="Trebuchet MS"/>
                <w:color w:val="auto"/>
                <w:sz w:val="22"/>
                <w:szCs w:val="22"/>
              </w:rPr>
              <w:t>.</w:t>
            </w:r>
          </w:p>
          <w:p w14:paraId="403E4664" w14:textId="0A01DED2" w:rsidR="00A070B0" w:rsidRPr="00A070B0" w:rsidRDefault="00A070B0" w:rsidP="0032422E">
            <w:pPr>
              <w:spacing w:after="0"/>
              <w:jc w:val="both"/>
              <w:rPr>
                <w:rFonts w:ascii="Trebuchet MS" w:hAnsi="Trebuchet MS"/>
                <w:sz w:val="22"/>
                <w:szCs w:val="22"/>
              </w:rPr>
            </w:pPr>
            <w:r w:rsidRPr="00A070B0">
              <w:rPr>
                <w:rFonts w:ascii="Trebuchet MS" w:hAnsi="Trebuchet MS"/>
                <w:sz w:val="22"/>
                <w:szCs w:val="22"/>
              </w:rPr>
              <w:t xml:space="preserve">We want </w:t>
            </w:r>
            <w:r w:rsidRPr="00FF44AB">
              <w:rPr>
                <w:rFonts w:ascii="Trebuchet MS" w:hAnsi="Trebuchet MS"/>
                <w:b/>
                <w:sz w:val="22"/>
                <w:szCs w:val="22"/>
              </w:rPr>
              <w:t>all</w:t>
            </w:r>
            <w:r w:rsidRPr="00A070B0">
              <w:rPr>
                <w:rFonts w:ascii="Trebuchet MS" w:hAnsi="Trebuchet MS"/>
                <w:sz w:val="22"/>
                <w:szCs w:val="22"/>
              </w:rPr>
              <w:t xml:space="preserve"> our pupils to develop </w:t>
            </w:r>
            <w:r w:rsidRPr="00A070B0">
              <w:rPr>
                <w:rFonts w:ascii="Trebuchet MS" w:hAnsi="Trebuchet MS"/>
                <w:b/>
                <w:sz w:val="22"/>
                <w:szCs w:val="22"/>
              </w:rPr>
              <w:t>FRUITS</w:t>
            </w:r>
            <w:r w:rsidRPr="00A070B0">
              <w:rPr>
                <w:rFonts w:ascii="Trebuchet MS" w:hAnsi="Trebuchet MS"/>
                <w:sz w:val="22"/>
                <w:szCs w:val="22"/>
              </w:rPr>
              <w:t>:</w:t>
            </w:r>
          </w:p>
          <w:p w14:paraId="301F4870" w14:textId="3D24F755" w:rsidR="00A070B0" w:rsidRPr="00A070B0" w:rsidRDefault="00A070B0" w:rsidP="0032422E">
            <w:pPr>
              <w:pStyle w:val="ListParagraph"/>
              <w:numPr>
                <w:ilvl w:val="0"/>
                <w:numId w:val="15"/>
              </w:numPr>
              <w:suppressAutoHyphens w:val="0"/>
              <w:autoSpaceDN/>
              <w:spacing w:after="0" w:line="259" w:lineRule="auto"/>
              <w:jc w:val="both"/>
              <w:rPr>
                <w:rFonts w:ascii="Trebuchet MS" w:hAnsi="Trebuchet MS"/>
                <w:sz w:val="22"/>
                <w:szCs w:val="22"/>
              </w:rPr>
            </w:pPr>
            <w:r w:rsidRPr="00A070B0">
              <w:rPr>
                <w:rFonts w:ascii="Trebuchet MS" w:hAnsi="Trebuchet MS"/>
                <w:b/>
                <w:sz w:val="22"/>
                <w:szCs w:val="22"/>
              </w:rPr>
              <w:t>F</w:t>
            </w:r>
            <w:r w:rsidRPr="00A070B0">
              <w:rPr>
                <w:rFonts w:ascii="Trebuchet MS" w:hAnsi="Trebuchet MS"/>
                <w:sz w:val="22"/>
                <w:szCs w:val="22"/>
              </w:rPr>
              <w:t>aith - develop courage, resilience and patience, through their own personal faith in God, so they can retain hope and joy even during hard experiences.</w:t>
            </w:r>
            <w:r w:rsidRPr="00A070B0">
              <w:rPr>
                <w:rFonts w:ascii="Trebuchet MS" w:hAnsi="Trebuchet MS"/>
                <w:b/>
                <w:sz w:val="22"/>
                <w:szCs w:val="22"/>
              </w:rPr>
              <w:t xml:space="preserve"> (John 1:12)</w:t>
            </w:r>
          </w:p>
          <w:p w14:paraId="3B2ACFEC" w14:textId="77777777" w:rsidR="00A070B0" w:rsidRPr="00A070B0" w:rsidRDefault="00A070B0" w:rsidP="0032422E">
            <w:pPr>
              <w:pStyle w:val="ListParagraph"/>
              <w:numPr>
                <w:ilvl w:val="0"/>
                <w:numId w:val="15"/>
              </w:numPr>
              <w:suppressAutoHyphens w:val="0"/>
              <w:autoSpaceDN/>
              <w:spacing w:after="0" w:line="259" w:lineRule="auto"/>
              <w:jc w:val="both"/>
              <w:rPr>
                <w:rFonts w:ascii="Trebuchet MS" w:hAnsi="Trebuchet MS"/>
                <w:sz w:val="22"/>
                <w:szCs w:val="22"/>
              </w:rPr>
            </w:pPr>
            <w:r w:rsidRPr="00A070B0">
              <w:rPr>
                <w:rFonts w:ascii="Trebuchet MS" w:hAnsi="Trebuchet MS"/>
                <w:b/>
                <w:sz w:val="22"/>
                <w:szCs w:val="22"/>
              </w:rPr>
              <w:t>R</w:t>
            </w:r>
            <w:r w:rsidRPr="00A070B0">
              <w:rPr>
                <w:rFonts w:ascii="Trebuchet MS" w:hAnsi="Trebuchet MS"/>
                <w:sz w:val="22"/>
                <w:szCs w:val="22"/>
              </w:rPr>
              <w:t xml:space="preserve">elationships - flourish through strong relationships with themselves, each other, creation and God. </w:t>
            </w:r>
            <w:r w:rsidRPr="00A070B0">
              <w:rPr>
                <w:rFonts w:ascii="Trebuchet MS" w:hAnsi="Trebuchet MS"/>
                <w:b/>
                <w:sz w:val="22"/>
                <w:szCs w:val="22"/>
              </w:rPr>
              <w:t>(Luke 10:27)</w:t>
            </w:r>
          </w:p>
          <w:p w14:paraId="74776567" w14:textId="77777777" w:rsidR="00A070B0" w:rsidRPr="00A070B0" w:rsidRDefault="00A070B0" w:rsidP="0032422E">
            <w:pPr>
              <w:pStyle w:val="ListParagraph"/>
              <w:numPr>
                <w:ilvl w:val="0"/>
                <w:numId w:val="15"/>
              </w:numPr>
              <w:suppressAutoHyphens w:val="0"/>
              <w:autoSpaceDN/>
              <w:spacing w:after="0" w:line="259" w:lineRule="auto"/>
              <w:jc w:val="both"/>
              <w:rPr>
                <w:rFonts w:ascii="Trebuchet MS" w:hAnsi="Trebuchet MS"/>
                <w:sz w:val="22"/>
                <w:szCs w:val="22"/>
              </w:rPr>
            </w:pPr>
            <w:r w:rsidRPr="00A070B0">
              <w:rPr>
                <w:rFonts w:ascii="Trebuchet MS" w:hAnsi="Trebuchet MS"/>
                <w:b/>
                <w:sz w:val="22"/>
                <w:szCs w:val="22"/>
              </w:rPr>
              <w:t>U</w:t>
            </w:r>
            <w:r w:rsidRPr="00A070B0">
              <w:rPr>
                <w:rFonts w:ascii="Trebuchet MS" w:hAnsi="Trebuchet MS"/>
                <w:sz w:val="22"/>
                <w:szCs w:val="22"/>
              </w:rPr>
              <w:t xml:space="preserve">niqueness - have the self-confidence to understand their uniqueness and God-given purpose to become the person God created them to be. </w:t>
            </w:r>
            <w:r w:rsidRPr="00A070B0">
              <w:rPr>
                <w:rFonts w:ascii="Trebuchet MS" w:hAnsi="Trebuchet MS"/>
                <w:b/>
                <w:sz w:val="22"/>
                <w:szCs w:val="22"/>
              </w:rPr>
              <w:t>(Matthew 10:30)</w:t>
            </w:r>
          </w:p>
          <w:p w14:paraId="237A0400" w14:textId="77777777" w:rsidR="00A070B0" w:rsidRPr="00A070B0" w:rsidRDefault="00A070B0" w:rsidP="0032422E">
            <w:pPr>
              <w:pStyle w:val="ListParagraph"/>
              <w:numPr>
                <w:ilvl w:val="0"/>
                <w:numId w:val="15"/>
              </w:numPr>
              <w:suppressAutoHyphens w:val="0"/>
              <w:autoSpaceDN/>
              <w:spacing w:after="0" w:line="259" w:lineRule="auto"/>
              <w:jc w:val="both"/>
              <w:rPr>
                <w:rFonts w:ascii="Trebuchet MS" w:hAnsi="Trebuchet MS"/>
                <w:sz w:val="22"/>
                <w:szCs w:val="22"/>
              </w:rPr>
            </w:pPr>
            <w:r w:rsidRPr="00A070B0">
              <w:rPr>
                <w:rFonts w:ascii="Trebuchet MS" w:hAnsi="Trebuchet MS"/>
                <w:b/>
                <w:sz w:val="22"/>
                <w:szCs w:val="22"/>
              </w:rPr>
              <w:t>I</w:t>
            </w:r>
            <w:r w:rsidRPr="00A070B0">
              <w:rPr>
                <w:rFonts w:ascii="Trebuchet MS" w:hAnsi="Trebuchet MS"/>
                <w:sz w:val="22"/>
                <w:szCs w:val="22"/>
              </w:rPr>
              <w:t>ntellect – develop a keen intellect and use this talent and ability wisely to protect and enhance themselves, their communities and the environment.</w:t>
            </w:r>
            <w:r w:rsidRPr="00A070B0">
              <w:rPr>
                <w:rFonts w:ascii="Trebuchet MS" w:hAnsi="Trebuchet MS"/>
                <w:b/>
                <w:sz w:val="22"/>
                <w:szCs w:val="22"/>
              </w:rPr>
              <w:t xml:space="preserve"> (Proverbs 3:13)</w:t>
            </w:r>
          </w:p>
          <w:p w14:paraId="1AF836EA" w14:textId="77777777" w:rsidR="00A070B0" w:rsidRPr="00A070B0" w:rsidRDefault="00A070B0" w:rsidP="0032422E">
            <w:pPr>
              <w:pStyle w:val="ListParagraph"/>
              <w:numPr>
                <w:ilvl w:val="0"/>
                <w:numId w:val="15"/>
              </w:numPr>
              <w:suppressAutoHyphens w:val="0"/>
              <w:autoSpaceDN/>
              <w:spacing w:after="0" w:line="259" w:lineRule="auto"/>
              <w:jc w:val="both"/>
              <w:rPr>
                <w:rFonts w:ascii="Trebuchet MS" w:hAnsi="Trebuchet MS"/>
                <w:sz w:val="22"/>
                <w:szCs w:val="22"/>
              </w:rPr>
            </w:pPr>
            <w:r w:rsidRPr="00A070B0">
              <w:rPr>
                <w:rFonts w:ascii="Trebuchet MS" w:hAnsi="Trebuchet MS"/>
                <w:b/>
                <w:sz w:val="22"/>
                <w:szCs w:val="22"/>
              </w:rPr>
              <w:t>T</w:t>
            </w:r>
            <w:r w:rsidRPr="00A070B0">
              <w:rPr>
                <w:rFonts w:ascii="Trebuchet MS" w:hAnsi="Trebuchet MS"/>
                <w:sz w:val="22"/>
                <w:szCs w:val="22"/>
              </w:rPr>
              <w:t xml:space="preserve">reat themselves and others with dignity and respect maintaining a healthy body and thriving community. </w:t>
            </w:r>
            <w:r w:rsidRPr="00A070B0">
              <w:rPr>
                <w:rFonts w:ascii="Trebuchet MS" w:hAnsi="Trebuchet MS"/>
                <w:b/>
                <w:sz w:val="22"/>
                <w:szCs w:val="22"/>
              </w:rPr>
              <w:t>(1 Peter 2:17)</w:t>
            </w:r>
          </w:p>
          <w:p w14:paraId="3F5F6A5A" w14:textId="77777777" w:rsidR="00A070B0" w:rsidRPr="00A070B0" w:rsidRDefault="00A070B0" w:rsidP="0032422E">
            <w:pPr>
              <w:pStyle w:val="ListParagraph"/>
              <w:numPr>
                <w:ilvl w:val="0"/>
                <w:numId w:val="15"/>
              </w:numPr>
              <w:suppressAutoHyphens w:val="0"/>
              <w:autoSpaceDN/>
              <w:spacing w:after="0" w:line="259" w:lineRule="auto"/>
              <w:jc w:val="both"/>
              <w:rPr>
                <w:rFonts w:ascii="Trebuchet MS" w:hAnsi="Trebuchet MS"/>
                <w:sz w:val="22"/>
                <w:szCs w:val="22"/>
              </w:rPr>
            </w:pPr>
            <w:r w:rsidRPr="00A070B0">
              <w:rPr>
                <w:rFonts w:ascii="Trebuchet MS" w:hAnsi="Trebuchet MS"/>
                <w:b/>
                <w:sz w:val="22"/>
                <w:szCs w:val="22"/>
              </w:rPr>
              <w:t>S</w:t>
            </w:r>
            <w:r w:rsidRPr="00A070B0">
              <w:rPr>
                <w:rFonts w:ascii="Trebuchet MS" w:hAnsi="Trebuchet MS"/>
                <w:sz w:val="22"/>
                <w:szCs w:val="22"/>
              </w:rPr>
              <w:t xml:space="preserve">alvation – have a recognition that we need to seek forgiveness through Jesus to become friends with God. </w:t>
            </w:r>
            <w:r w:rsidRPr="00A070B0">
              <w:rPr>
                <w:rFonts w:ascii="Trebuchet MS" w:hAnsi="Trebuchet MS"/>
                <w:b/>
                <w:sz w:val="22"/>
                <w:szCs w:val="22"/>
              </w:rPr>
              <w:t>(Ephesians 2: 8-9)</w:t>
            </w:r>
          </w:p>
          <w:p w14:paraId="7BE18466" w14:textId="42EE10F7" w:rsidR="00A070B0" w:rsidRDefault="00FF44AB" w:rsidP="0032422E">
            <w:pPr>
              <w:spacing w:before="120"/>
              <w:jc w:val="both"/>
              <w:rPr>
                <w:rFonts w:ascii="Trebuchet MS" w:hAnsi="Trebuchet MS"/>
                <w:color w:val="auto"/>
                <w:sz w:val="22"/>
                <w:szCs w:val="22"/>
              </w:rPr>
            </w:pPr>
            <w:r>
              <w:rPr>
                <w:rFonts w:ascii="Trebuchet MS" w:hAnsi="Trebuchet MS"/>
                <w:color w:val="auto"/>
                <w:sz w:val="22"/>
                <w:szCs w:val="22"/>
              </w:rPr>
              <w:t>At the heart of our Pupil Premium Strategy we want to provide ‘hands on’, in</w:t>
            </w:r>
            <w:r w:rsidR="00DF2869">
              <w:rPr>
                <w:rFonts w:ascii="Trebuchet MS" w:hAnsi="Trebuchet MS"/>
                <w:color w:val="auto"/>
                <w:sz w:val="22"/>
                <w:szCs w:val="22"/>
              </w:rPr>
              <w:t>teractive learning experiences which encourage pupils to enjoy learning and aspire to discover more about the world around them and how they can become good stewards of God’s creation.</w:t>
            </w:r>
            <w:r w:rsidR="0032422E">
              <w:rPr>
                <w:rFonts w:ascii="Trebuchet MS" w:hAnsi="Trebuchet MS"/>
                <w:color w:val="auto"/>
                <w:sz w:val="22"/>
                <w:szCs w:val="22"/>
              </w:rPr>
              <w:t xml:space="preserve"> We aim for all pupils to have a rich ex</w:t>
            </w:r>
            <w:r w:rsidR="004642B2">
              <w:rPr>
                <w:rFonts w:ascii="Trebuchet MS" w:hAnsi="Trebuchet MS"/>
                <w:color w:val="auto"/>
                <w:sz w:val="22"/>
                <w:szCs w:val="22"/>
              </w:rPr>
              <w:t>perience whilst developing</w:t>
            </w:r>
            <w:r w:rsidR="0032422E">
              <w:rPr>
                <w:rFonts w:ascii="Trebuchet MS" w:hAnsi="Trebuchet MS"/>
                <w:color w:val="auto"/>
                <w:sz w:val="22"/>
                <w:szCs w:val="22"/>
              </w:rPr>
              <w:t xml:space="preserve"> </w:t>
            </w:r>
            <w:r w:rsidR="004642B2">
              <w:rPr>
                <w:rFonts w:ascii="Trebuchet MS" w:hAnsi="Trebuchet MS"/>
                <w:color w:val="auto"/>
                <w:sz w:val="22"/>
                <w:szCs w:val="22"/>
              </w:rPr>
              <w:t xml:space="preserve">core </w:t>
            </w:r>
            <w:r w:rsidR="0032422E">
              <w:rPr>
                <w:rFonts w:ascii="Trebuchet MS" w:hAnsi="Trebuchet MS"/>
                <w:color w:val="auto"/>
                <w:sz w:val="22"/>
                <w:szCs w:val="22"/>
              </w:rPr>
              <w:t>reading, writing and mathematical</w:t>
            </w:r>
            <w:r w:rsidR="004642B2">
              <w:rPr>
                <w:rFonts w:ascii="Trebuchet MS" w:hAnsi="Trebuchet MS"/>
                <w:color w:val="auto"/>
                <w:sz w:val="22"/>
                <w:szCs w:val="22"/>
              </w:rPr>
              <w:t xml:space="preserve"> skills which support learning across the curriculum. </w:t>
            </w:r>
          </w:p>
          <w:p w14:paraId="420DB42A" w14:textId="72C406C0" w:rsidR="004606F6" w:rsidRDefault="004606F6" w:rsidP="0032422E">
            <w:pPr>
              <w:spacing w:before="120"/>
              <w:jc w:val="both"/>
              <w:rPr>
                <w:rFonts w:ascii="Trebuchet MS" w:hAnsi="Trebuchet MS"/>
                <w:color w:val="auto"/>
                <w:sz w:val="22"/>
                <w:szCs w:val="22"/>
              </w:rPr>
            </w:pPr>
            <w:r>
              <w:rPr>
                <w:rFonts w:ascii="Trebuchet MS" w:hAnsi="Trebuchet MS"/>
                <w:color w:val="auto"/>
                <w:sz w:val="22"/>
                <w:szCs w:val="22"/>
              </w:rPr>
              <w:t>During the 3-year plan we will work to:</w:t>
            </w:r>
          </w:p>
          <w:p w14:paraId="6543D89A" w14:textId="5C287D0C" w:rsidR="004606F6" w:rsidRDefault="004606F6" w:rsidP="004606F6">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t>Raise attainment in KS1 and lower KS2 in reading by increasing re</w:t>
            </w:r>
            <w:r w:rsidR="006E3CF0">
              <w:rPr>
                <w:rFonts w:ascii="Trebuchet MS" w:hAnsi="Trebuchet MS"/>
                <w:color w:val="auto"/>
                <w:sz w:val="22"/>
                <w:szCs w:val="22"/>
              </w:rPr>
              <w:t>ading fluency and accuracy and developing effective comprehension strategies.</w:t>
            </w:r>
          </w:p>
          <w:p w14:paraId="7F940DA9" w14:textId="0C610EC0" w:rsidR="004606F6" w:rsidRDefault="004606F6" w:rsidP="004606F6">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t>Continue to develop a solid foundation in number and pupil’s confidence when applying this to manip</w:t>
            </w:r>
            <w:r w:rsidR="00311575">
              <w:rPr>
                <w:rFonts w:ascii="Trebuchet MS" w:hAnsi="Trebuchet MS"/>
                <w:color w:val="auto"/>
                <w:sz w:val="22"/>
                <w:szCs w:val="22"/>
              </w:rPr>
              <w:t>ulate numbers in different ways, raising attainment for previously lower attaining groups.</w:t>
            </w:r>
          </w:p>
          <w:p w14:paraId="150E47CD" w14:textId="5B214E1F" w:rsidR="006E3CF0" w:rsidRDefault="006E3CF0" w:rsidP="004606F6">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t>Refine our school curriculum, ensuring a high quality, sequential programme of study in each subject which identifies how the subject contributes to pupil development of FRUITS, pre-requisite knowledge and skills for each unit of work and the subject-specific substantive, disciplinary knowledge and concepts covered.</w:t>
            </w:r>
          </w:p>
          <w:p w14:paraId="2A7D54E9" w14:textId="1CD48170" w:rsidR="00E66558" w:rsidRPr="00052A25" w:rsidRDefault="004606F6" w:rsidP="00052A25">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lastRenderedPageBreak/>
              <w:t xml:space="preserve">Develop children’s </w:t>
            </w:r>
            <w:r w:rsidR="000A3C5B">
              <w:rPr>
                <w:rFonts w:ascii="Trebuchet MS" w:hAnsi="Trebuchet MS"/>
                <w:color w:val="auto"/>
                <w:sz w:val="22"/>
                <w:szCs w:val="22"/>
              </w:rPr>
              <w:t>cognitive</w:t>
            </w:r>
            <w:r w:rsidR="00311575">
              <w:rPr>
                <w:rFonts w:ascii="Trebuchet MS" w:hAnsi="Trebuchet MS"/>
                <w:color w:val="auto"/>
                <w:sz w:val="22"/>
                <w:szCs w:val="22"/>
              </w:rPr>
              <w:t xml:space="preserve"> and meta-cognitive</w:t>
            </w:r>
            <w:r w:rsidR="000A3C5B">
              <w:rPr>
                <w:rFonts w:ascii="Trebuchet MS" w:hAnsi="Trebuchet MS"/>
                <w:color w:val="auto"/>
                <w:sz w:val="22"/>
                <w:szCs w:val="22"/>
              </w:rPr>
              <w:t xml:space="preserve"> </w:t>
            </w:r>
            <w:r>
              <w:rPr>
                <w:rFonts w:ascii="Trebuchet MS" w:hAnsi="Trebuchet MS"/>
                <w:color w:val="auto"/>
                <w:sz w:val="22"/>
                <w:szCs w:val="22"/>
              </w:rPr>
              <w:t>capability to make wise, well-informed opinions and decisions through ongoing staff development in embedding: Thinking Skills, P4C, Forest Schools and Emotion Works</w:t>
            </w:r>
            <w:r w:rsidR="00052A25">
              <w:rPr>
                <w:rFonts w:ascii="Trebuchet MS" w:hAnsi="Trebuchet MS"/>
                <w:color w:val="auto"/>
                <w:sz w:val="22"/>
                <w:szCs w:val="22"/>
              </w:rPr>
              <w:t>.</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D68E2DF" w:rsidR="00E66558" w:rsidRPr="00A520CB" w:rsidRDefault="00284782" w:rsidP="00311575">
            <w:pPr>
              <w:pStyle w:val="TableRowCentered"/>
              <w:jc w:val="left"/>
            </w:pPr>
            <w:r>
              <w:rPr>
                <w:sz w:val="22"/>
                <w:szCs w:val="22"/>
              </w:rPr>
              <w:t xml:space="preserve">Pupils </w:t>
            </w:r>
            <w:r w:rsidR="00311575">
              <w:rPr>
                <w:sz w:val="22"/>
                <w:szCs w:val="22"/>
              </w:rPr>
              <w:t xml:space="preserve">have limited cultural capital which puts greater </w:t>
            </w:r>
            <w:r w:rsidR="00354C22">
              <w:rPr>
                <w:sz w:val="22"/>
                <w:szCs w:val="22"/>
              </w:rPr>
              <w:t>pressure on working memory when being introduced to new concepts and experiences.</w:t>
            </w:r>
          </w:p>
        </w:tc>
      </w:tr>
      <w:tr w:rsidR="0028478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284782" w:rsidRDefault="00284782" w:rsidP="00284782">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A33B966" w:rsidR="00284782" w:rsidRDefault="00D7033C" w:rsidP="00D7033C">
            <w:pPr>
              <w:pStyle w:val="TableRowCentered"/>
              <w:jc w:val="left"/>
              <w:rPr>
                <w:sz w:val="22"/>
                <w:szCs w:val="22"/>
              </w:rPr>
            </w:pPr>
            <w:r>
              <w:t>Some pupils struggle to transfer key knowledge into long-term memory.</w:t>
            </w:r>
          </w:p>
        </w:tc>
      </w:tr>
      <w:tr w:rsidR="0028478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284782" w:rsidRDefault="00284782" w:rsidP="0028478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491AC8F" w:rsidR="00284782" w:rsidRDefault="00D7033C" w:rsidP="00284782">
            <w:pPr>
              <w:pStyle w:val="TableRowCentered"/>
              <w:jc w:val="left"/>
              <w:rPr>
                <w:sz w:val="22"/>
                <w:szCs w:val="22"/>
              </w:rPr>
            </w:pPr>
            <w:r>
              <w:rPr>
                <w:sz w:val="22"/>
                <w:szCs w:val="22"/>
              </w:rPr>
              <w:t xml:space="preserve">Pupils need support to </w:t>
            </w:r>
            <w:r w:rsidR="009D7EED">
              <w:rPr>
                <w:sz w:val="22"/>
                <w:szCs w:val="22"/>
              </w:rPr>
              <w:t>apply knowledge to new situations.</w:t>
            </w:r>
          </w:p>
        </w:tc>
      </w:tr>
      <w:tr w:rsidR="0028478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284782" w:rsidRDefault="00284782" w:rsidP="0028478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0F4D487" w:rsidR="00284782" w:rsidRPr="009D1886" w:rsidRDefault="009D1886" w:rsidP="00284782">
            <w:pPr>
              <w:pStyle w:val="TableRowCentered"/>
              <w:jc w:val="left"/>
              <w:rPr>
                <w:iCs/>
                <w:sz w:val="22"/>
                <w:szCs w:val="22"/>
              </w:rPr>
            </w:pPr>
            <w:r w:rsidRPr="009D1886">
              <w:rPr>
                <w:rFonts w:cs="Arial"/>
                <w:sz w:val="22"/>
                <w:szCs w:val="22"/>
              </w:rPr>
              <w:t>High percentage of pupils who have had Adverse Childhood Experiences and as a consequence struggle to regulate their emotions.</w:t>
            </w:r>
          </w:p>
        </w:tc>
      </w:tr>
      <w:tr w:rsidR="00284782" w14:paraId="2A7D54FE" w14:textId="77777777" w:rsidTr="00354C22">
        <w:trPr>
          <w:trHeight w:val="73"/>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284782" w:rsidRDefault="00284782" w:rsidP="00284782">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B9A60FD" w:rsidR="00284782" w:rsidRDefault="00284782" w:rsidP="00354C22">
            <w:pPr>
              <w:pStyle w:val="TableRowCentered"/>
              <w:jc w:val="left"/>
              <w:rPr>
                <w:iCs/>
                <w:sz w:val="22"/>
              </w:rPr>
            </w:pPr>
            <w:r>
              <w:rPr>
                <w:sz w:val="22"/>
                <w:szCs w:val="22"/>
              </w:rPr>
              <w:t xml:space="preserve">Pupils </w:t>
            </w:r>
            <w:r w:rsidR="00354C22">
              <w:rPr>
                <w:sz w:val="22"/>
                <w:szCs w:val="22"/>
              </w:rPr>
              <w:t>enter school with a more limited vocabulary and communication skills than expected.</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14:paraId="2A7D5503" w14:textId="77777777" w:rsidTr="00FE14A9">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FE14A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644A4F5" w:rsidR="00E66558" w:rsidRDefault="00A520CB" w:rsidP="00A520CB">
            <w:pPr>
              <w:pStyle w:val="TableRow"/>
            </w:pPr>
            <w:r>
              <w:rPr>
                <w:i/>
                <w:iCs/>
                <w:sz w:val="22"/>
                <w:szCs w:val="22"/>
              </w:rPr>
              <w:t>KS1 pupils to be able to apply phonics within their reading.</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CFF4F57" w:rsidR="00E66558" w:rsidRDefault="000A3C5B">
            <w:pPr>
              <w:pStyle w:val="TableRowCentered"/>
              <w:jc w:val="left"/>
              <w:rPr>
                <w:sz w:val="22"/>
                <w:szCs w:val="22"/>
              </w:rPr>
            </w:pPr>
            <w:r>
              <w:rPr>
                <w:sz w:val="22"/>
                <w:szCs w:val="22"/>
              </w:rPr>
              <w:t xml:space="preserve">Attainment in the Phonics Screening check to be </w:t>
            </w:r>
            <w:proofErr w:type="spellStart"/>
            <w:r>
              <w:rPr>
                <w:sz w:val="22"/>
                <w:szCs w:val="22"/>
              </w:rPr>
              <w:t>inline</w:t>
            </w:r>
            <w:proofErr w:type="spellEnd"/>
            <w:r>
              <w:rPr>
                <w:sz w:val="22"/>
                <w:szCs w:val="22"/>
              </w:rPr>
              <w:t xml:space="preserve"> with National averages</w:t>
            </w:r>
          </w:p>
        </w:tc>
      </w:tr>
      <w:tr w:rsidR="00E66558" w14:paraId="2A7D5509" w14:textId="77777777" w:rsidTr="00FE14A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350D139" w:rsidR="00E66558" w:rsidRPr="000A3C5B" w:rsidRDefault="000A3C5B" w:rsidP="00FE14A9">
            <w:pPr>
              <w:pStyle w:val="TableRow"/>
              <w:rPr>
                <w:i/>
                <w:sz w:val="22"/>
                <w:szCs w:val="22"/>
              </w:rPr>
            </w:pPr>
            <w:r>
              <w:rPr>
                <w:i/>
                <w:sz w:val="22"/>
                <w:szCs w:val="22"/>
              </w:rPr>
              <w:t xml:space="preserve">KS2 pupils to </w:t>
            </w:r>
            <w:r w:rsidR="00FE14A9">
              <w:rPr>
                <w:i/>
                <w:sz w:val="22"/>
                <w:szCs w:val="22"/>
              </w:rPr>
              <w:t>read with fluency and understanding</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1B33" w14:textId="2347593D" w:rsidR="006E471E" w:rsidRDefault="006E471E">
            <w:pPr>
              <w:pStyle w:val="TableRowCentered"/>
              <w:jc w:val="left"/>
              <w:rPr>
                <w:sz w:val="22"/>
                <w:szCs w:val="22"/>
              </w:rPr>
            </w:pPr>
            <w:r>
              <w:rPr>
                <w:sz w:val="22"/>
                <w:szCs w:val="22"/>
              </w:rPr>
              <w:t>All pupils able to discuss books they read for pleasure.</w:t>
            </w:r>
          </w:p>
          <w:p w14:paraId="184E6A7D" w14:textId="2E4FE8AE" w:rsidR="00E66558" w:rsidRDefault="00FE14A9">
            <w:pPr>
              <w:pStyle w:val="TableRowCentered"/>
              <w:jc w:val="left"/>
              <w:rPr>
                <w:sz w:val="22"/>
                <w:szCs w:val="22"/>
              </w:rPr>
            </w:pPr>
            <w:r>
              <w:rPr>
                <w:sz w:val="22"/>
                <w:szCs w:val="22"/>
              </w:rPr>
              <w:t xml:space="preserve">Pupils to achieve an age related reading score inline or above their actual age on the </w:t>
            </w:r>
            <w:proofErr w:type="spellStart"/>
            <w:r>
              <w:rPr>
                <w:sz w:val="22"/>
                <w:szCs w:val="22"/>
              </w:rPr>
              <w:t>Lexplore</w:t>
            </w:r>
            <w:proofErr w:type="spellEnd"/>
            <w:r>
              <w:rPr>
                <w:sz w:val="22"/>
                <w:szCs w:val="22"/>
              </w:rPr>
              <w:t xml:space="preserve"> reading test.</w:t>
            </w:r>
          </w:p>
          <w:p w14:paraId="2A7D5508" w14:textId="62C9511A" w:rsidR="00FE14A9" w:rsidRDefault="00FE14A9" w:rsidP="00FE14A9">
            <w:pPr>
              <w:pStyle w:val="TableRowCentered"/>
              <w:jc w:val="left"/>
              <w:rPr>
                <w:sz w:val="22"/>
                <w:szCs w:val="22"/>
              </w:rPr>
            </w:pPr>
            <w:r>
              <w:rPr>
                <w:sz w:val="22"/>
                <w:szCs w:val="22"/>
              </w:rPr>
              <w:t xml:space="preserve">End of KS2 reading scores to be at least </w:t>
            </w:r>
            <w:proofErr w:type="spellStart"/>
            <w:r>
              <w:rPr>
                <w:sz w:val="22"/>
                <w:szCs w:val="22"/>
              </w:rPr>
              <w:t>inline</w:t>
            </w:r>
            <w:proofErr w:type="spellEnd"/>
            <w:r>
              <w:rPr>
                <w:sz w:val="22"/>
                <w:szCs w:val="22"/>
              </w:rPr>
              <w:t xml:space="preserve"> with the national average.</w:t>
            </w:r>
          </w:p>
        </w:tc>
      </w:tr>
      <w:tr w:rsidR="00E66558" w14:paraId="2A7D550C" w14:textId="77777777" w:rsidTr="00FE14A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AD2CB21" w:rsidR="00E66558" w:rsidRPr="00FE14A9" w:rsidRDefault="00FE14A9">
            <w:pPr>
              <w:pStyle w:val="TableRow"/>
              <w:rPr>
                <w:i/>
                <w:sz w:val="22"/>
                <w:szCs w:val="22"/>
              </w:rPr>
            </w:pPr>
            <w:r>
              <w:rPr>
                <w:i/>
                <w:sz w:val="22"/>
                <w:szCs w:val="22"/>
              </w:rPr>
              <w:t>KS1 and lower KS2 pupils to develop fluency and understanding when manipulating number.</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60F74" w14:textId="77777777" w:rsidR="00E66558" w:rsidRDefault="00FE14A9" w:rsidP="00FE14A9">
            <w:pPr>
              <w:pStyle w:val="TableRowCentered"/>
              <w:jc w:val="left"/>
              <w:rPr>
                <w:sz w:val="22"/>
                <w:szCs w:val="22"/>
              </w:rPr>
            </w:pPr>
            <w:r>
              <w:rPr>
                <w:sz w:val="22"/>
                <w:szCs w:val="22"/>
              </w:rPr>
              <w:t xml:space="preserve">End of KS1 mathematics results to be at least </w:t>
            </w:r>
            <w:proofErr w:type="spellStart"/>
            <w:r>
              <w:rPr>
                <w:sz w:val="22"/>
                <w:szCs w:val="22"/>
              </w:rPr>
              <w:t>inline</w:t>
            </w:r>
            <w:proofErr w:type="spellEnd"/>
            <w:r>
              <w:rPr>
                <w:sz w:val="22"/>
                <w:szCs w:val="22"/>
              </w:rPr>
              <w:t xml:space="preserve"> with national averages both at expected and greater depth.</w:t>
            </w:r>
          </w:p>
          <w:p w14:paraId="2A7D550B" w14:textId="55C169A5" w:rsidR="006E471E" w:rsidRDefault="006E471E" w:rsidP="00FE14A9">
            <w:pPr>
              <w:pStyle w:val="TableRowCentered"/>
              <w:jc w:val="left"/>
              <w:rPr>
                <w:sz w:val="22"/>
                <w:szCs w:val="22"/>
              </w:rPr>
            </w:pPr>
            <w:r>
              <w:rPr>
                <w:sz w:val="22"/>
                <w:szCs w:val="22"/>
              </w:rPr>
              <w:t xml:space="preserve">End of year attainment in lower KS2 to be at least </w:t>
            </w:r>
            <w:proofErr w:type="spellStart"/>
            <w:r>
              <w:rPr>
                <w:sz w:val="22"/>
                <w:szCs w:val="22"/>
              </w:rPr>
              <w:t>inline</w:t>
            </w:r>
            <w:proofErr w:type="spellEnd"/>
            <w:r>
              <w:rPr>
                <w:sz w:val="22"/>
                <w:szCs w:val="22"/>
              </w:rPr>
              <w:t xml:space="preserve"> with national averages.</w:t>
            </w:r>
          </w:p>
        </w:tc>
      </w:tr>
      <w:tr w:rsidR="00E66558" w14:paraId="2A7D550F" w14:textId="77777777" w:rsidTr="00FE14A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4887A03" w:rsidR="00E66558" w:rsidRPr="00FE14A9" w:rsidRDefault="00FE14A9" w:rsidP="006E471E">
            <w:pPr>
              <w:pStyle w:val="TableRow"/>
              <w:rPr>
                <w:i/>
                <w:sz w:val="22"/>
                <w:szCs w:val="22"/>
              </w:rPr>
            </w:pPr>
            <w:r>
              <w:rPr>
                <w:i/>
                <w:sz w:val="22"/>
                <w:szCs w:val="22"/>
              </w:rPr>
              <w:t xml:space="preserve">All pupils to demonstrate high levels of engagement and ability to </w:t>
            </w:r>
            <w:r w:rsidR="006E471E">
              <w:rPr>
                <w:i/>
                <w:sz w:val="22"/>
                <w:szCs w:val="22"/>
              </w:rPr>
              <w:t xml:space="preserve">work collaboratively when </w:t>
            </w:r>
            <w:r>
              <w:rPr>
                <w:i/>
                <w:sz w:val="22"/>
                <w:szCs w:val="22"/>
              </w:rPr>
              <w:t>solv</w:t>
            </w:r>
            <w:r w:rsidR="006E471E">
              <w:rPr>
                <w:i/>
                <w:sz w:val="22"/>
                <w:szCs w:val="22"/>
              </w:rPr>
              <w:t>ing</w:t>
            </w:r>
            <w:r>
              <w:rPr>
                <w:i/>
                <w:sz w:val="22"/>
                <w:szCs w:val="22"/>
              </w:rPr>
              <w:t xml:space="preserve"> problems </w:t>
            </w:r>
            <w:r w:rsidR="006E471E">
              <w:rPr>
                <w:i/>
                <w:sz w:val="22"/>
                <w:szCs w:val="22"/>
              </w:rPr>
              <w:t>across the curriculum.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1955" w14:textId="77777777" w:rsidR="00E66558" w:rsidRDefault="006E471E">
            <w:pPr>
              <w:pStyle w:val="TableRowCentered"/>
              <w:jc w:val="left"/>
              <w:rPr>
                <w:sz w:val="22"/>
                <w:szCs w:val="22"/>
              </w:rPr>
            </w:pPr>
            <w:r>
              <w:rPr>
                <w:sz w:val="22"/>
                <w:szCs w:val="22"/>
              </w:rPr>
              <w:t>All pupils able to demonstrate creative, collaborative, critical and caring thinking.</w:t>
            </w:r>
          </w:p>
          <w:p w14:paraId="2A7D550E" w14:textId="3FD3AFFA" w:rsidR="006E471E" w:rsidRDefault="006E471E" w:rsidP="006E471E">
            <w:pPr>
              <w:pStyle w:val="TableRowCentered"/>
              <w:jc w:val="left"/>
              <w:rPr>
                <w:sz w:val="22"/>
                <w:szCs w:val="22"/>
              </w:rPr>
            </w:pPr>
            <w:r>
              <w:rPr>
                <w:sz w:val="22"/>
                <w:szCs w:val="22"/>
              </w:rPr>
              <w:t xml:space="preserve">Attendance for disadvantaged pupils to be </w:t>
            </w:r>
            <w:proofErr w:type="spellStart"/>
            <w:r>
              <w:rPr>
                <w:sz w:val="22"/>
                <w:szCs w:val="22"/>
              </w:rPr>
              <w:t>inline</w:t>
            </w:r>
            <w:proofErr w:type="spellEnd"/>
            <w:r>
              <w:rPr>
                <w:sz w:val="22"/>
                <w:szCs w:val="22"/>
              </w:rPr>
              <w:t xml:space="preserve"> with the national average for all pupils.</w:t>
            </w: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3972144" w:rsidR="00E66558" w:rsidRDefault="009D71E8">
      <w:r>
        <w:t xml:space="preserve">Budgeted cost: £ </w:t>
      </w:r>
      <w:r w:rsidR="00052A25">
        <w:rPr>
          <w:i/>
          <w:iCs/>
        </w:rPr>
        <w:t>75,890</w:t>
      </w:r>
    </w:p>
    <w:tbl>
      <w:tblPr>
        <w:tblW w:w="5153" w:type="pct"/>
        <w:tblCellMar>
          <w:left w:w="10" w:type="dxa"/>
          <w:right w:w="10" w:type="dxa"/>
        </w:tblCellMar>
        <w:tblLook w:val="04A0" w:firstRow="1" w:lastRow="0" w:firstColumn="1" w:lastColumn="0" w:noHBand="0" w:noVBand="1"/>
      </w:tblPr>
      <w:tblGrid>
        <w:gridCol w:w="1555"/>
        <w:gridCol w:w="3118"/>
        <w:gridCol w:w="3544"/>
        <w:gridCol w:w="1559"/>
      </w:tblGrid>
      <w:tr w:rsidR="009D7EED" w14:paraId="2A7D5519" w14:textId="77777777" w:rsidTr="00215AAF">
        <w:tc>
          <w:tcPr>
            <w:tcW w:w="1555" w:type="dxa"/>
            <w:tcBorders>
              <w:top w:val="single" w:sz="4" w:space="0" w:color="000000"/>
              <w:left w:val="single" w:sz="4" w:space="0" w:color="000000"/>
              <w:bottom w:val="single" w:sz="4" w:space="0" w:color="000000"/>
              <w:right w:val="single" w:sz="4" w:space="0" w:color="000000"/>
            </w:tcBorders>
            <w:shd w:val="clear" w:color="auto" w:fill="D8E2E9"/>
          </w:tcPr>
          <w:p w14:paraId="34C262F8" w14:textId="7F3B2864" w:rsidR="009D7EED" w:rsidRDefault="009D7EED" w:rsidP="009D7EED">
            <w:pPr>
              <w:pStyle w:val="TableHeader"/>
            </w:pPr>
            <w:r>
              <w:t>Focus</w:t>
            </w:r>
          </w:p>
        </w:tc>
        <w:tc>
          <w:tcPr>
            <w:tcW w:w="31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1C06323F" w:rsidR="009D7EED" w:rsidRDefault="009D7EED" w:rsidP="009D7EED">
            <w:pPr>
              <w:pStyle w:val="TableHeader"/>
            </w:pPr>
            <w:r>
              <w:t>Activity</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9D7EED" w:rsidRDefault="009D7EED" w:rsidP="009D7EED">
            <w:pPr>
              <w:pStyle w:val="TableHeader"/>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9D7EED" w:rsidRDefault="009D7EED" w:rsidP="009D7EED">
            <w:pPr>
              <w:pStyle w:val="TableHeader"/>
            </w:pPr>
            <w:r>
              <w:t>Challenge number(s) addressed</w:t>
            </w:r>
          </w:p>
        </w:tc>
      </w:tr>
      <w:tr w:rsidR="00832A27" w14:paraId="2A7D551D" w14:textId="77777777" w:rsidTr="00215AAF">
        <w:tc>
          <w:tcPr>
            <w:tcW w:w="1555" w:type="dxa"/>
            <w:vMerge w:val="restart"/>
            <w:tcBorders>
              <w:top w:val="single" w:sz="4" w:space="0" w:color="000000"/>
              <w:left w:val="single" w:sz="4" w:space="0" w:color="000000"/>
              <w:right w:val="single" w:sz="4" w:space="0" w:color="000000"/>
            </w:tcBorders>
          </w:tcPr>
          <w:p w14:paraId="74457CD3" w14:textId="14AF8158" w:rsidR="00832A27" w:rsidRPr="00215AAF" w:rsidRDefault="00832A27" w:rsidP="00052A25">
            <w:pPr>
              <w:pStyle w:val="TableRow"/>
              <w:ind w:left="0"/>
              <w:rPr>
                <w:color w:val="auto"/>
                <w:sz w:val="20"/>
                <w:szCs w:val="20"/>
              </w:rPr>
            </w:pPr>
            <w:r w:rsidRPr="00215AAF">
              <w:rPr>
                <w:color w:val="auto"/>
                <w:sz w:val="20"/>
                <w:szCs w:val="20"/>
              </w:rPr>
              <w:t>Ensure the teaching of word recognition is consistent and has a high priority to develop fluent readers.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05B93E5" w:rsidR="00832A27" w:rsidRPr="00215AAF" w:rsidRDefault="00832A27" w:rsidP="00052A25">
            <w:pPr>
              <w:pStyle w:val="TableRow"/>
              <w:ind w:left="0"/>
              <w:rPr>
                <w:color w:val="auto"/>
                <w:sz w:val="20"/>
                <w:szCs w:val="20"/>
              </w:rPr>
            </w:pPr>
            <w:r w:rsidRPr="00215AAF">
              <w:rPr>
                <w:color w:val="auto"/>
                <w:sz w:val="20"/>
                <w:szCs w:val="20"/>
              </w:rPr>
              <w:t>Review phonics teaching and resources to ensure fidelity to an approach. Updated CPD for EYFS/KS1 staff.</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35D01" w14:textId="7A09DAAA" w:rsidR="00832A27" w:rsidRPr="00215AAF" w:rsidRDefault="00832A27">
            <w:pPr>
              <w:pStyle w:val="TableRowCentered"/>
              <w:jc w:val="left"/>
              <w:rPr>
                <w:color w:val="auto"/>
                <w:sz w:val="20"/>
              </w:rPr>
            </w:pPr>
            <w:r w:rsidRPr="00215AAF">
              <w:rPr>
                <w:color w:val="auto"/>
                <w:sz w:val="20"/>
              </w:rPr>
              <w:t>EEF Toolkit – phonics</w:t>
            </w:r>
          </w:p>
          <w:p w14:paraId="27A4B70F" w14:textId="77777777" w:rsidR="00832A27" w:rsidRPr="00215AAF" w:rsidRDefault="00832A27">
            <w:pPr>
              <w:pStyle w:val="TableRowCentered"/>
              <w:jc w:val="left"/>
              <w:rPr>
                <w:color w:val="auto"/>
                <w:sz w:val="20"/>
              </w:rPr>
            </w:pPr>
            <w:r w:rsidRPr="00215AAF">
              <w:rPr>
                <w:color w:val="auto"/>
                <w:sz w:val="20"/>
              </w:rPr>
              <w:t>The reading Framework July 2021</w:t>
            </w:r>
          </w:p>
          <w:p w14:paraId="2A7D551B" w14:textId="0B34E0B8" w:rsidR="00832A27" w:rsidRPr="00215AAF" w:rsidRDefault="00832A27">
            <w:pPr>
              <w:pStyle w:val="TableRowCentered"/>
              <w:jc w:val="left"/>
              <w:rPr>
                <w:color w:val="auto"/>
                <w:sz w:val="20"/>
              </w:rPr>
            </w:pPr>
            <w:r w:rsidRPr="00215AAF">
              <w:rPr>
                <w:color w:val="auto"/>
                <w:sz w:val="20"/>
              </w:rPr>
              <w:t>OFSTED Bold Beginnings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4F2D5" w14:textId="77777777" w:rsidR="00832A27" w:rsidRPr="00215AAF" w:rsidRDefault="00832A27">
            <w:pPr>
              <w:pStyle w:val="TableRowCentered"/>
              <w:jc w:val="left"/>
              <w:rPr>
                <w:color w:val="auto"/>
                <w:sz w:val="20"/>
              </w:rPr>
            </w:pPr>
            <w:r w:rsidRPr="00215AAF">
              <w:rPr>
                <w:color w:val="auto"/>
                <w:sz w:val="20"/>
              </w:rPr>
              <w:t>2</w:t>
            </w:r>
          </w:p>
          <w:p w14:paraId="2A7D551C" w14:textId="44C97E5C" w:rsidR="00832A27" w:rsidRPr="00215AAF" w:rsidRDefault="00832A27">
            <w:pPr>
              <w:pStyle w:val="TableRowCentered"/>
              <w:jc w:val="left"/>
              <w:rPr>
                <w:color w:val="auto"/>
                <w:sz w:val="20"/>
              </w:rPr>
            </w:pPr>
            <w:r w:rsidRPr="00215AAF">
              <w:rPr>
                <w:color w:val="auto"/>
                <w:sz w:val="20"/>
              </w:rPr>
              <w:t>3</w:t>
            </w:r>
          </w:p>
        </w:tc>
      </w:tr>
      <w:tr w:rsidR="00832A27" w14:paraId="2A7D5521" w14:textId="77777777" w:rsidTr="00215AAF">
        <w:tc>
          <w:tcPr>
            <w:tcW w:w="1555" w:type="dxa"/>
            <w:vMerge/>
            <w:tcBorders>
              <w:left w:val="single" w:sz="4" w:space="0" w:color="000000"/>
              <w:right w:val="single" w:sz="4" w:space="0" w:color="000000"/>
            </w:tcBorders>
          </w:tcPr>
          <w:p w14:paraId="31650E2C" w14:textId="77777777" w:rsidR="00832A27" w:rsidRPr="00215AAF" w:rsidRDefault="00832A27" w:rsidP="00052A25">
            <w:pPr>
              <w:pStyle w:val="TableRow"/>
              <w:ind w:left="0"/>
              <w:rPr>
                <w:color w:val="auto"/>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8D2932E" w:rsidR="00832A27" w:rsidRPr="00215AAF" w:rsidRDefault="00832A27" w:rsidP="00052A25">
            <w:pPr>
              <w:pStyle w:val="TableRow"/>
              <w:ind w:left="0"/>
              <w:rPr>
                <w:color w:val="auto"/>
                <w:sz w:val="20"/>
                <w:szCs w:val="20"/>
              </w:rPr>
            </w:pPr>
            <w:r w:rsidRPr="00215AAF">
              <w:rPr>
                <w:color w:val="auto"/>
                <w:sz w:val="20"/>
                <w:szCs w:val="20"/>
              </w:rPr>
              <w:t xml:space="preserve">CPD for KS2 in use of </w:t>
            </w:r>
            <w:proofErr w:type="spellStart"/>
            <w:r w:rsidRPr="00215AAF">
              <w:rPr>
                <w:color w:val="auto"/>
                <w:sz w:val="20"/>
                <w:szCs w:val="20"/>
              </w:rPr>
              <w:t>Lexplore</w:t>
            </w:r>
            <w:proofErr w:type="spellEnd"/>
            <w:r w:rsidRPr="00215AAF">
              <w:rPr>
                <w:color w:val="auto"/>
                <w:sz w:val="20"/>
                <w:szCs w:val="20"/>
              </w:rPr>
              <w:t xml:space="preserve"> data.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73A606C" w:rsidR="00832A27" w:rsidRPr="00215AAF" w:rsidRDefault="00832A27">
            <w:pPr>
              <w:pStyle w:val="TableRowCentered"/>
              <w:jc w:val="left"/>
              <w:rPr>
                <w:color w:val="auto"/>
                <w:sz w:val="20"/>
              </w:rPr>
            </w:pPr>
            <w:proofErr w:type="spellStart"/>
            <w:r w:rsidRPr="00215AAF">
              <w:rPr>
                <w:color w:val="auto"/>
                <w:sz w:val="20"/>
              </w:rPr>
              <w:t>Lexplore</w:t>
            </w:r>
            <w:proofErr w:type="spellEnd"/>
            <w:r w:rsidRPr="00215AAF">
              <w:rPr>
                <w:color w:val="auto"/>
                <w:sz w:val="20"/>
              </w:rPr>
              <w:t xml:space="preserve"> analytics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0397" w14:textId="77777777" w:rsidR="00832A27" w:rsidRPr="00215AAF" w:rsidRDefault="00832A27">
            <w:pPr>
              <w:pStyle w:val="TableRowCentered"/>
              <w:jc w:val="left"/>
              <w:rPr>
                <w:color w:val="auto"/>
                <w:sz w:val="20"/>
              </w:rPr>
            </w:pPr>
            <w:r w:rsidRPr="00215AAF">
              <w:rPr>
                <w:color w:val="auto"/>
                <w:sz w:val="20"/>
              </w:rPr>
              <w:t>2</w:t>
            </w:r>
          </w:p>
          <w:p w14:paraId="2A7D5520" w14:textId="04869F8B" w:rsidR="00832A27" w:rsidRPr="00215AAF" w:rsidRDefault="00832A27">
            <w:pPr>
              <w:pStyle w:val="TableRowCentered"/>
              <w:jc w:val="left"/>
              <w:rPr>
                <w:color w:val="auto"/>
                <w:sz w:val="20"/>
              </w:rPr>
            </w:pPr>
            <w:r w:rsidRPr="00215AAF">
              <w:rPr>
                <w:color w:val="auto"/>
                <w:sz w:val="20"/>
              </w:rPr>
              <w:t>3</w:t>
            </w:r>
          </w:p>
        </w:tc>
      </w:tr>
      <w:tr w:rsidR="00832A27" w14:paraId="79004A40" w14:textId="77777777" w:rsidTr="00215AAF">
        <w:tc>
          <w:tcPr>
            <w:tcW w:w="1555" w:type="dxa"/>
            <w:vMerge/>
            <w:tcBorders>
              <w:left w:val="single" w:sz="4" w:space="0" w:color="000000"/>
              <w:bottom w:val="single" w:sz="12" w:space="0" w:color="auto"/>
              <w:right w:val="single" w:sz="4" w:space="0" w:color="000000"/>
            </w:tcBorders>
            <w:shd w:val="clear" w:color="auto" w:fill="auto"/>
          </w:tcPr>
          <w:p w14:paraId="2A5A13B2" w14:textId="77777777" w:rsidR="00832A27" w:rsidRPr="00215AAF" w:rsidRDefault="00832A27" w:rsidP="00052A25">
            <w:pPr>
              <w:pStyle w:val="TableRow"/>
              <w:ind w:left="0"/>
              <w:rPr>
                <w:color w:val="auto"/>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1C3" w14:textId="0CDD8C3F" w:rsidR="00832A27" w:rsidRPr="00215AAF" w:rsidRDefault="00832A27" w:rsidP="00052A25">
            <w:pPr>
              <w:pStyle w:val="TableRow"/>
              <w:ind w:left="0"/>
              <w:rPr>
                <w:color w:val="auto"/>
                <w:sz w:val="20"/>
                <w:szCs w:val="20"/>
              </w:rPr>
            </w:pPr>
            <w:r w:rsidRPr="00215AAF">
              <w:rPr>
                <w:color w:val="auto"/>
                <w:sz w:val="20"/>
                <w:szCs w:val="20"/>
              </w:rPr>
              <w:t>Review ‘Active Ingredients’ for teaching reading.</w:t>
            </w:r>
          </w:p>
          <w:p w14:paraId="3095E113" w14:textId="77777777" w:rsidR="00832A27" w:rsidRPr="00215AAF" w:rsidRDefault="00832A27" w:rsidP="00052A25">
            <w:pPr>
              <w:pStyle w:val="TableRow"/>
              <w:ind w:left="0"/>
              <w:rPr>
                <w:color w:val="auto"/>
                <w:sz w:val="20"/>
                <w:szCs w:val="20"/>
              </w:rPr>
            </w:pPr>
            <w:r w:rsidRPr="00215AAF">
              <w:rPr>
                <w:color w:val="auto"/>
                <w:sz w:val="20"/>
                <w:szCs w:val="20"/>
              </w:rPr>
              <w:t>Use of Thinking Moves to develop reading comprehension strategies.</w:t>
            </w:r>
          </w:p>
          <w:p w14:paraId="28247DEC" w14:textId="00E86854" w:rsidR="00832A27" w:rsidRPr="00215AAF" w:rsidRDefault="00832A27" w:rsidP="00052A25">
            <w:pPr>
              <w:pStyle w:val="TableRow"/>
              <w:ind w:left="0"/>
              <w:rPr>
                <w:color w:val="auto"/>
                <w:sz w:val="20"/>
                <w:szCs w:val="20"/>
              </w:rPr>
            </w:pPr>
            <w:r w:rsidRPr="00215AAF">
              <w:rPr>
                <w:color w:val="auto"/>
                <w:sz w:val="20"/>
                <w:szCs w:val="20"/>
              </w:rPr>
              <w:t>Teacher Assistant support for Literacy</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F90D7" w14:textId="2100CC20" w:rsidR="00832A27" w:rsidRPr="00215AAF" w:rsidRDefault="00832A27">
            <w:pPr>
              <w:pStyle w:val="TableRowCentered"/>
              <w:jc w:val="left"/>
              <w:rPr>
                <w:color w:val="auto"/>
                <w:sz w:val="20"/>
              </w:rPr>
            </w:pPr>
            <w:r w:rsidRPr="00215AAF">
              <w:rPr>
                <w:color w:val="auto"/>
                <w:sz w:val="20"/>
              </w:rPr>
              <w:t xml:space="preserve">EEF Cognitive Sciences in the Classroom </w:t>
            </w:r>
            <w:r w:rsidR="009D1886" w:rsidRPr="00215AAF">
              <w:rPr>
                <w:color w:val="auto"/>
                <w:sz w:val="20"/>
              </w:rPr>
              <w:t>July 2021</w:t>
            </w:r>
            <w:r w:rsidRPr="00215AAF">
              <w:rPr>
                <w:color w:val="auto"/>
                <w:sz w:val="20"/>
              </w:rPr>
              <w:t>– working with schemas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D6D6" w14:textId="77777777" w:rsidR="00832A27" w:rsidRPr="00215AAF" w:rsidRDefault="00832A27">
            <w:pPr>
              <w:pStyle w:val="TableRowCentered"/>
              <w:jc w:val="left"/>
              <w:rPr>
                <w:color w:val="auto"/>
                <w:sz w:val="20"/>
              </w:rPr>
            </w:pPr>
            <w:r w:rsidRPr="00215AAF">
              <w:rPr>
                <w:color w:val="auto"/>
                <w:sz w:val="20"/>
              </w:rPr>
              <w:t>2</w:t>
            </w:r>
          </w:p>
          <w:p w14:paraId="467F63EB" w14:textId="77777777" w:rsidR="00832A27" w:rsidRPr="00215AAF" w:rsidRDefault="00832A27">
            <w:pPr>
              <w:pStyle w:val="TableRowCentered"/>
              <w:jc w:val="left"/>
              <w:rPr>
                <w:color w:val="auto"/>
                <w:sz w:val="20"/>
              </w:rPr>
            </w:pPr>
            <w:r w:rsidRPr="00215AAF">
              <w:rPr>
                <w:color w:val="auto"/>
                <w:sz w:val="20"/>
              </w:rPr>
              <w:t>3</w:t>
            </w:r>
          </w:p>
          <w:p w14:paraId="5964543B" w14:textId="632F803D" w:rsidR="00832A27" w:rsidRPr="00215AAF" w:rsidRDefault="00832A27">
            <w:pPr>
              <w:pStyle w:val="TableRowCentered"/>
              <w:jc w:val="left"/>
              <w:rPr>
                <w:color w:val="auto"/>
                <w:sz w:val="20"/>
              </w:rPr>
            </w:pPr>
            <w:r w:rsidRPr="00215AAF">
              <w:rPr>
                <w:color w:val="auto"/>
                <w:sz w:val="20"/>
              </w:rPr>
              <w:t>5</w:t>
            </w:r>
          </w:p>
        </w:tc>
      </w:tr>
      <w:tr w:rsidR="00832A27" w14:paraId="27C57C58" w14:textId="77777777" w:rsidTr="00215AAF">
        <w:tc>
          <w:tcPr>
            <w:tcW w:w="1555" w:type="dxa"/>
            <w:tcBorders>
              <w:top w:val="single" w:sz="12" w:space="0" w:color="auto"/>
              <w:left w:val="single" w:sz="4" w:space="0" w:color="000000"/>
              <w:bottom w:val="single" w:sz="12" w:space="0" w:color="auto"/>
              <w:right w:val="single" w:sz="4" w:space="0" w:color="000000"/>
            </w:tcBorders>
          </w:tcPr>
          <w:p w14:paraId="239FB8E7" w14:textId="0D513154" w:rsidR="00832A27" w:rsidRPr="00215AAF" w:rsidRDefault="00832A27" w:rsidP="00052A25">
            <w:pPr>
              <w:pStyle w:val="TableRow"/>
              <w:ind w:left="0"/>
              <w:rPr>
                <w:color w:val="auto"/>
                <w:sz w:val="20"/>
                <w:szCs w:val="20"/>
              </w:rPr>
            </w:pPr>
            <w:r w:rsidRPr="00215AAF">
              <w:rPr>
                <w:color w:val="auto"/>
                <w:sz w:val="20"/>
                <w:szCs w:val="20"/>
              </w:rPr>
              <w:t>To embed ‘Teaching for Mastery’ in mathematics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3BB2" w14:textId="77777777" w:rsidR="00832A27" w:rsidRPr="00215AAF" w:rsidRDefault="00832A27" w:rsidP="00832A27">
            <w:pPr>
              <w:widowControl w:val="0"/>
              <w:suppressAutoHyphens w:val="0"/>
              <w:autoSpaceDE w:val="0"/>
              <w:spacing w:after="0" w:line="240" w:lineRule="auto"/>
              <w:jc w:val="both"/>
              <w:rPr>
                <w:color w:val="auto"/>
                <w:sz w:val="20"/>
                <w:szCs w:val="20"/>
              </w:rPr>
            </w:pPr>
            <w:r w:rsidRPr="00215AAF">
              <w:rPr>
                <w:color w:val="auto"/>
                <w:sz w:val="20"/>
                <w:szCs w:val="20"/>
              </w:rPr>
              <w:t>Professional Development for all staff in Years 1 – 3 in the Red Rose Scheme.</w:t>
            </w:r>
          </w:p>
          <w:p w14:paraId="69720144" w14:textId="77777777" w:rsidR="00832A27" w:rsidRPr="00215AAF" w:rsidRDefault="00832A27" w:rsidP="00832A27">
            <w:pPr>
              <w:widowControl w:val="0"/>
              <w:suppressAutoHyphens w:val="0"/>
              <w:autoSpaceDE w:val="0"/>
              <w:spacing w:after="0" w:line="240" w:lineRule="auto"/>
              <w:jc w:val="both"/>
              <w:rPr>
                <w:color w:val="auto"/>
                <w:sz w:val="20"/>
                <w:szCs w:val="20"/>
              </w:rPr>
            </w:pPr>
            <w:r w:rsidRPr="00215AAF">
              <w:rPr>
                <w:color w:val="auto"/>
                <w:sz w:val="20"/>
                <w:szCs w:val="20"/>
              </w:rPr>
              <w:t>Implement the Red Rose Scheme in years 1 – 3.</w:t>
            </w:r>
          </w:p>
          <w:p w14:paraId="55A7733B" w14:textId="77777777" w:rsidR="00832A27" w:rsidRPr="00215AAF" w:rsidRDefault="00832A27" w:rsidP="00832A27">
            <w:pPr>
              <w:widowControl w:val="0"/>
              <w:suppressAutoHyphens w:val="0"/>
              <w:autoSpaceDE w:val="0"/>
              <w:spacing w:after="0" w:line="240" w:lineRule="auto"/>
              <w:jc w:val="both"/>
              <w:rPr>
                <w:color w:val="auto"/>
                <w:sz w:val="20"/>
                <w:szCs w:val="20"/>
              </w:rPr>
            </w:pPr>
            <w:r w:rsidRPr="00215AAF">
              <w:rPr>
                <w:color w:val="auto"/>
                <w:sz w:val="20"/>
                <w:szCs w:val="20"/>
              </w:rPr>
              <w:t>Involvement of Year 3-4 teachers in piloting the Year 4 Red Rose Programme, including professional development and opportunities to write materials.</w:t>
            </w:r>
          </w:p>
          <w:p w14:paraId="418538D4" w14:textId="13FC7CFF" w:rsidR="00832A27" w:rsidRPr="00215AAF" w:rsidRDefault="00832A27" w:rsidP="00832A27">
            <w:pPr>
              <w:pStyle w:val="TableRow"/>
              <w:ind w:left="0"/>
              <w:rPr>
                <w:color w:val="auto"/>
                <w:sz w:val="20"/>
                <w:szCs w:val="20"/>
              </w:rPr>
            </w:pPr>
            <w:r w:rsidRPr="00215AAF">
              <w:rPr>
                <w:color w:val="auto"/>
                <w:sz w:val="20"/>
                <w:szCs w:val="20"/>
              </w:rPr>
              <w:t>Teacher Assistant support for Numeracy</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1D56B" w14:textId="77777777" w:rsidR="00832A27" w:rsidRPr="00215AAF" w:rsidRDefault="00832A27">
            <w:pPr>
              <w:pStyle w:val="TableRowCentered"/>
              <w:jc w:val="left"/>
              <w:rPr>
                <w:color w:val="auto"/>
                <w:sz w:val="20"/>
              </w:rPr>
            </w:pPr>
            <w:r w:rsidRPr="00215AAF">
              <w:rPr>
                <w:color w:val="auto"/>
                <w:sz w:val="20"/>
              </w:rPr>
              <w:t>Red Rose Mathematics team</w:t>
            </w:r>
          </w:p>
          <w:p w14:paraId="565C8C22" w14:textId="0F7AE6B5" w:rsidR="00832A27" w:rsidRPr="00215AAF" w:rsidRDefault="00832A27">
            <w:pPr>
              <w:pStyle w:val="TableRowCentered"/>
              <w:jc w:val="left"/>
              <w:rPr>
                <w:color w:val="auto"/>
                <w:sz w:val="20"/>
              </w:rPr>
            </w:pPr>
          </w:p>
          <w:p w14:paraId="78F1583C" w14:textId="6D2F88D6" w:rsidR="00832A27" w:rsidRPr="00215AAF" w:rsidRDefault="00832A27">
            <w:pPr>
              <w:pStyle w:val="TableRowCentered"/>
              <w:jc w:val="left"/>
              <w:rPr>
                <w:color w:val="auto"/>
                <w:sz w:val="20"/>
              </w:rPr>
            </w:pPr>
            <w:r w:rsidRPr="00215AAF">
              <w:rPr>
                <w:color w:val="auto"/>
                <w:sz w:val="20"/>
              </w:rPr>
              <w:t>EEF Cognitive Sciences in the Classroom</w:t>
            </w:r>
            <w:r w:rsidR="009D1886" w:rsidRPr="00215AAF">
              <w:rPr>
                <w:color w:val="auto"/>
                <w:sz w:val="20"/>
              </w:rPr>
              <w:t xml:space="preserve"> July 2021</w:t>
            </w:r>
          </w:p>
          <w:p w14:paraId="2EE1FEB9" w14:textId="3C279A70" w:rsidR="00832A27" w:rsidRPr="00215AAF" w:rsidRDefault="00832A27">
            <w:pPr>
              <w:pStyle w:val="TableRowCentered"/>
              <w:jc w:val="left"/>
              <w:rPr>
                <w:color w:val="auto"/>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42AE" w14:textId="77777777" w:rsidR="00832A27" w:rsidRPr="00215AAF" w:rsidRDefault="00832A27">
            <w:pPr>
              <w:pStyle w:val="TableRowCentered"/>
              <w:jc w:val="left"/>
              <w:rPr>
                <w:color w:val="auto"/>
                <w:sz w:val="20"/>
              </w:rPr>
            </w:pPr>
            <w:r w:rsidRPr="00215AAF">
              <w:rPr>
                <w:color w:val="auto"/>
                <w:sz w:val="20"/>
              </w:rPr>
              <w:t>2</w:t>
            </w:r>
          </w:p>
          <w:p w14:paraId="2EF5D3A7" w14:textId="40C0916C" w:rsidR="00832A27" w:rsidRPr="00215AAF" w:rsidRDefault="00832A27">
            <w:pPr>
              <w:pStyle w:val="TableRowCentered"/>
              <w:jc w:val="left"/>
              <w:rPr>
                <w:color w:val="auto"/>
                <w:sz w:val="20"/>
              </w:rPr>
            </w:pPr>
            <w:r w:rsidRPr="00215AAF">
              <w:rPr>
                <w:color w:val="auto"/>
                <w:sz w:val="20"/>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28B2B40" w:rsidR="00E66558" w:rsidRDefault="009D71E8">
      <w:r>
        <w:t xml:space="preserve">Budgeted cost: £ </w:t>
      </w:r>
      <w:r w:rsidR="00F45CC4">
        <w:t>21,895</w:t>
      </w:r>
    </w:p>
    <w:tbl>
      <w:tblPr>
        <w:tblW w:w="5153" w:type="pct"/>
        <w:tblCellMar>
          <w:left w:w="10" w:type="dxa"/>
          <w:right w:w="10" w:type="dxa"/>
        </w:tblCellMar>
        <w:tblLook w:val="04A0" w:firstRow="1" w:lastRow="0" w:firstColumn="1" w:lastColumn="0" w:noHBand="0" w:noVBand="1"/>
      </w:tblPr>
      <w:tblGrid>
        <w:gridCol w:w="1548"/>
        <w:gridCol w:w="2700"/>
        <w:gridCol w:w="3969"/>
        <w:gridCol w:w="1559"/>
      </w:tblGrid>
      <w:tr w:rsidR="00832A27" w14:paraId="2A7D5528" w14:textId="77777777" w:rsidTr="00215AAF">
        <w:tc>
          <w:tcPr>
            <w:tcW w:w="1548" w:type="dxa"/>
            <w:tcBorders>
              <w:top w:val="single" w:sz="4" w:space="0" w:color="000000"/>
              <w:left w:val="single" w:sz="4" w:space="0" w:color="000000"/>
              <w:bottom w:val="single" w:sz="4" w:space="0" w:color="000000"/>
              <w:right w:val="single" w:sz="4" w:space="0" w:color="000000"/>
            </w:tcBorders>
            <w:shd w:val="clear" w:color="auto" w:fill="D8E2E9"/>
          </w:tcPr>
          <w:p w14:paraId="28CEE66C" w14:textId="436029EF" w:rsidR="00832A27" w:rsidRDefault="00832A27">
            <w:pPr>
              <w:pStyle w:val="TableHeader"/>
              <w:jc w:val="left"/>
            </w:pPr>
            <w:r>
              <w:t>Focus</w:t>
            </w:r>
          </w:p>
        </w:tc>
        <w:tc>
          <w:tcPr>
            <w:tcW w:w="27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6ABB26DD" w:rsidR="00832A27" w:rsidRDefault="00832A27">
            <w:pPr>
              <w:pStyle w:val="TableHeader"/>
              <w:jc w:val="left"/>
            </w:pPr>
            <w:r>
              <w:t>Activity</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832A27" w:rsidRDefault="00832A27">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832A27" w:rsidRDefault="00832A27">
            <w:pPr>
              <w:pStyle w:val="TableHeader"/>
              <w:jc w:val="left"/>
            </w:pPr>
            <w:r>
              <w:t>Challenge number(s) addressed</w:t>
            </w:r>
          </w:p>
        </w:tc>
      </w:tr>
      <w:tr w:rsidR="00832A27" w14:paraId="2A7D552C" w14:textId="77777777" w:rsidTr="00215AAF">
        <w:tc>
          <w:tcPr>
            <w:tcW w:w="1548" w:type="dxa"/>
            <w:tcBorders>
              <w:top w:val="single" w:sz="4" w:space="0" w:color="000000"/>
              <w:left w:val="single" w:sz="4" w:space="0" w:color="000000"/>
              <w:bottom w:val="single" w:sz="4" w:space="0" w:color="000000"/>
              <w:right w:val="single" w:sz="4" w:space="0" w:color="000000"/>
            </w:tcBorders>
          </w:tcPr>
          <w:p w14:paraId="22E002E0" w14:textId="7EB14ECB" w:rsidR="00832A27" w:rsidRPr="00215AAF" w:rsidRDefault="00832A27" w:rsidP="009D1886">
            <w:pPr>
              <w:pStyle w:val="TableRow"/>
              <w:rPr>
                <w:i/>
                <w:iCs/>
                <w:color w:val="auto"/>
                <w:sz w:val="20"/>
                <w:szCs w:val="20"/>
              </w:rPr>
            </w:pPr>
            <w:r w:rsidRPr="00215AAF">
              <w:rPr>
                <w:color w:val="auto"/>
                <w:sz w:val="20"/>
                <w:szCs w:val="20"/>
              </w:rPr>
              <w:t xml:space="preserve">Ensure the teaching of word recognition is consistent and </w:t>
            </w:r>
            <w:r w:rsidRPr="00215AAF">
              <w:rPr>
                <w:color w:val="auto"/>
                <w:sz w:val="20"/>
                <w:szCs w:val="20"/>
              </w:rPr>
              <w:lastRenderedPageBreak/>
              <w:t>has a high priority to develop fluent readers.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9A187" w14:textId="77777777" w:rsidR="00832A27" w:rsidRPr="00215AAF" w:rsidRDefault="00832A27" w:rsidP="009D1886">
            <w:pPr>
              <w:pStyle w:val="TableRow"/>
              <w:rPr>
                <w:rStyle w:val="PlaceholderText"/>
                <w:color w:val="auto"/>
                <w:sz w:val="20"/>
                <w:szCs w:val="20"/>
              </w:rPr>
            </w:pPr>
            <w:r w:rsidRPr="00215AAF">
              <w:rPr>
                <w:rStyle w:val="PlaceholderText"/>
                <w:color w:val="auto"/>
                <w:sz w:val="20"/>
                <w:szCs w:val="20"/>
              </w:rPr>
              <w:lastRenderedPageBreak/>
              <w:t xml:space="preserve">Delivery of interventions using </w:t>
            </w:r>
            <w:proofErr w:type="spellStart"/>
            <w:r w:rsidRPr="00215AAF">
              <w:rPr>
                <w:rStyle w:val="PlaceholderText"/>
                <w:color w:val="auto"/>
                <w:sz w:val="20"/>
                <w:szCs w:val="20"/>
              </w:rPr>
              <w:t>Lexplore</w:t>
            </w:r>
            <w:proofErr w:type="spellEnd"/>
            <w:r w:rsidRPr="00215AAF">
              <w:rPr>
                <w:rStyle w:val="PlaceholderText"/>
                <w:color w:val="auto"/>
                <w:sz w:val="20"/>
                <w:szCs w:val="20"/>
              </w:rPr>
              <w:t xml:space="preserve"> and Fast Track phonics.</w:t>
            </w:r>
          </w:p>
          <w:p w14:paraId="2A7D5529" w14:textId="080BA2C1" w:rsidR="00BC77CC" w:rsidRPr="00215AAF" w:rsidRDefault="00BC77CC" w:rsidP="009D1886">
            <w:pPr>
              <w:pStyle w:val="TableRow"/>
              <w:rPr>
                <w:color w:val="auto"/>
                <w:sz w:val="20"/>
                <w:szCs w:val="20"/>
              </w:rPr>
            </w:pPr>
            <w:r w:rsidRPr="00215AAF">
              <w:rPr>
                <w:rStyle w:val="PlaceholderText"/>
                <w:color w:val="auto"/>
                <w:sz w:val="20"/>
                <w:szCs w:val="20"/>
              </w:rPr>
              <w:lastRenderedPageBreak/>
              <w:t>Daily reading for identified pupils.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0D24" w14:textId="3DD26B3D" w:rsidR="00832A27" w:rsidRPr="00215AAF" w:rsidRDefault="00560FFB" w:rsidP="009D1886">
            <w:pPr>
              <w:pStyle w:val="TableRowCentered"/>
              <w:jc w:val="both"/>
              <w:rPr>
                <w:color w:val="auto"/>
                <w:sz w:val="20"/>
              </w:rPr>
            </w:pPr>
            <w:proofErr w:type="spellStart"/>
            <w:r w:rsidRPr="00215AAF">
              <w:rPr>
                <w:color w:val="auto"/>
                <w:sz w:val="20"/>
              </w:rPr>
              <w:lastRenderedPageBreak/>
              <w:t>Lexplore</w:t>
            </w:r>
            <w:proofErr w:type="spellEnd"/>
            <w:r w:rsidRPr="00215AAF">
              <w:rPr>
                <w:color w:val="auto"/>
                <w:sz w:val="20"/>
              </w:rPr>
              <w:t xml:space="preserve"> Analytics research</w:t>
            </w:r>
          </w:p>
          <w:p w14:paraId="4C68E085" w14:textId="18E81DF9" w:rsidR="00F82B25" w:rsidRPr="00215AAF" w:rsidRDefault="00F82B25" w:rsidP="009D1886">
            <w:pPr>
              <w:pStyle w:val="TableRowCentered"/>
              <w:jc w:val="both"/>
              <w:rPr>
                <w:color w:val="auto"/>
                <w:sz w:val="20"/>
              </w:rPr>
            </w:pPr>
          </w:p>
          <w:p w14:paraId="2A7D552A" w14:textId="744F1156" w:rsidR="00560FFB" w:rsidRPr="00215AAF" w:rsidRDefault="00F82B25" w:rsidP="008F06C8">
            <w:pPr>
              <w:spacing w:after="0"/>
              <w:rPr>
                <w:rFonts w:cs="Arial"/>
                <w:sz w:val="20"/>
                <w:szCs w:val="20"/>
              </w:rPr>
            </w:pPr>
            <w:r w:rsidRPr="00215AAF">
              <w:rPr>
                <w:rFonts w:cs="Arial"/>
                <w:sz w:val="20"/>
                <w:szCs w:val="20"/>
              </w:rPr>
              <w:t xml:space="preserve">The Sutton Trust list Reading Comprehension strategies as an effective </w:t>
            </w:r>
            <w:r w:rsidRPr="00215AAF">
              <w:rPr>
                <w:rFonts w:cs="Arial"/>
                <w:sz w:val="20"/>
                <w:szCs w:val="20"/>
              </w:rPr>
              <w:lastRenderedPageBreak/>
              <w:t>way to raise achievement. Reading aloud is also listed as an effective part of an Oral language Intervention and this has been shown to give pupils 5 months additional progress during a year.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911BB" w14:textId="77777777" w:rsidR="00832A27" w:rsidRPr="00215AAF" w:rsidRDefault="00560FFB" w:rsidP="00832A27">
            <w:pPr>
              <w:pStyle w:val="TableRowCentered"/>
              <w:jc w:val="left"/>
              <w:rPr>
                <w:color w:val="auto"/>
                <w:sz w:val="20"/>
              </w:rPr>
            </w:pPr>
            <w:r w:rsidRPr="00215AAF">
              <w:rPr>
                <w:color w:val="auto"/>
                <w:sz w:val="20"/>
              </w:rPr>
              <w:lastRenderedPageBreak/>
              <w:t>2</w:t>
            </w:r>
          </w:p>
          <w:p w14:paraId="2A7D552B" w14:textId="34D1C129" w:rsidR="00560FFB" w:rsidRPr="00215AAF" w:rsidRDefault="00560FFB" w:rsidP="00832A27">
            <w:pPr>
              <w:pStyle w:val="TableRowCentered"/>
              <w:jc w:val="left"/>
              <w:rPr>
                <w:color w:val="auto"/>
                <w:sz w:val="20"/>
              </w:rPr>
            </w:pPr>
            <w:r w:rsidRPr="00215AAF">
              <w:rPr>
                <w:color w:val="auto"/>
                <w:sz w:val="20"/>
              </w:rPr>
              <w:t>3</w:t>
            </w:r>
          </w:p>
        </w:tc>
      </w:tr>
      <w:tr w:rsidR="00832A27" w14:paraId="2A7D5530" w14:textId="77777777" w:rsidTr="00215AAF">
        <w:tc>
          <w:tcPr>
            <w:tcW w:w="1548" w:type="dxa"/>
            <w:tcBorders>
              <w:top w:val="single" w:sz="4" w:space="0" w:color="000000"/>
              <w:left w:val="single" w:sz="4" w:space="0" w:color="000000"/>
              <w:bottom w:val="single" w:sz="4" w:space="0" w:color="000000"/>
              <w:right w:val="single" w:sz="4" w:space="0" w:color="000000"/>
            </w:tcBorders>
          </w:tcPr>
          <w:p w14:paraId="1FA586DD" w14:textId="56FC60D4" w:rsidR="00832A27" w:rsidRPr="00215AAF" w:rsidRDefault="00832A27" w:rsidP="009D1886">
            <w:pPr>
              <w:pStyle w:val="TableRow"/>
              <w:rPr>
                <w:i/>
                <w:color w:val="auto"/>
                <w:sz w:val="20"/>
                <w:szCs w:val="20"/>
              </w:rPr>
            </w:pPr>
            <w:r w:rsidRPr="00215AAF">
              <w:rPr>
                <w:color w:val="auto"/>
                <w:sz w:val="20"/>
                <w:szCs w:val="20"/>
              </w:rPr>
              <w:t>To embed ‘Teaching for Mastery’ in mathematics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4E6BA4D" w:rsidR="00832A27" w:rsidRPr="00215AAF" w:rsidRDefault="00832A27" w:rsidP="009D1886">
            <w:pPr>
              <w:pStyle w:val="TableRow"/>
              <w:rPr>
                <w:i/>
                <w:color w:val="auto"/>
                <w:sz w:val="20"/>
                <w:szCs w:val="20"/>
              </w:rPr>
            </w:pPr>
            <w:r w:rsidRPr="00215AAF">
              <w:rPr>
                <w:rStyle w:val="PlaceholderText"/>
                <w:color w:val="auto"/>
                <w:sz w:val="20"/>
                <w:szCs w:val="20"/>
              </w:rPr>
              <w:t>Use of Numicon, Breaking Barriers or Big Ideas to address gaps in learning or understanding.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D470C" w14:textId="77777777" w:rsidR="009D1886" w:rsidRPr="00215AAF" w:rsidRDefault="009D1886" w:rsidP="009D1886">
            <w:pPr>
              <w:spacing w:after="0"/>
              <w:jc w:val="both"/>
              <w:rPr>
                <w:rFonts w:cs="Arial"/>
                <w:color w:val="auto"/>
                <w:sz w:val="20"/>
                <w:szCs w:val="20"/>
              </w:rPr>
            </w:pPr>
            <w:r w:rsidRPr="00215AAF">
              <w:rPr>
                <w:rFonts w:cs="Arial"/>
                <w:color w:val="auto"/>
                <w:sz w:val="20"/>
                <w:szCs w:val="20"/>
              </w:rPr>
              <w:t>Result from the Sutton Trust demonstrates that Small Group tuition is an effective way to accelerate progress providing that:</w:t>
            </w:r>
          </w:p>
          <w:p w14:paraId="6FEB5D91" w14:textId="77777777" w:rsidR="009D1886" w:rsidRPr="00215AAF" w:rsidRDefault="009D1886" w:rsidP="009D1886">
            <w:pPr>
              <w:pStyle w:val="ListParagraph"/>
              <w:numPr>
                <w:ilvl w:val="0"/>
                <w:numId w:val="17"/>
              </w:numPr>
              <w:suppressAutoHyphens w:val="0"/>
              <w:autoSpaceDN/>
              <w:spacing w:after="0" w:line="240" w:lineRule="auto"/>
              <w:contextualSpacing w:val="0"/>
              <w:jc w:val="both"/>
              <w:rPr>
                <w:rFonts w:cs="Arial"/>
                <w:color w:val="auto"/>
                <w:sz w:val="20"/>
                <w:szCs w:val="20"/>
              </w:rPr>
            </w:pPr>
            <w:r w:rsidRPr="00215AAF">
              <w:rPr>
                <w:rFonts w:cs="Arial"/>
                <w:color w:val="auto"/>
                <w:sz w:val="20"/>
                <w:szCs w:val="20"/>
              </w:rPr>
              <w:t>Groups are kept small (6 or less)</w:t>
            </w:r>
          </w:p>
          <w:p w14:paraId="33716515" w14:textId="77777777" w:rsidR="009D1886" w:rsidRPr="00215AAF" w:rsidRDefault="009D1886" w:rsidP="009D1886">
            <w:pPr>
              <w:pStyle w:val="ListParagraph"/>
              <w:numPr>
                <w:ilvl w:val="0"/>
                <w:numId w:val="17"/>
              </w:numPr>
              <w:suppressAutoHyphens w:val="0"/>
              <w:autoSpaceDN/>
              <w:spacing w:after="0" w:line="240" w:lineRule="auto"/>
              <w:contextualSpacing w:val="0"/>
              <w:jc w:val="both"/>
              <w:rPr>
                <w:rFonts w:cs="Arial"/>
                <w:color w:val="auto"/>
                <w:sz w:val="20"/>
                <w:szCs w:val="20"/>
              </w:rPr>
            </w:pPr>
            <w:r w:rsidRPr="00215AAF">
              <w:rPr>
                <w:rFonts w:cs="Arial"/>
                <w:color w:val="auto"/>
                <w:sz w:val="20"/>
                <w:szCs w:val="20"/>
              </w:rPr>
              <w:t>High quality teaching is involved</w:t>
            </w:r>
          </w:p>
          <w:p w14:paraId="2A7D552E" w14:textId="203FB591" w:rsidR="00832A27" w:rsidRPr="00215AAF" w:rsidRDefault="009D1886" w:rsidP="009D1886">
            <w:pPr>
              <w:pStyle w:val="TableRowCentered"/>
              <w:jc w:val="both"/>
              <w:rPr>
                <w:color w:val="auto"/>
                <w:sz w:val="20"/>
              </w:rPr>
            </w:pPr>
            <w:r w:rsidRPr="00215AAF">
              <w:rPr>
                <w:rFonts w:cs="Arial"/>
                <w:color w:val="auto"/>
                <w:sz w:val="20"/>
              </w:rPr>
              <w:t>Learning objectives are tailored to the needs of the group and individuals to ensure that gaps in learning are addressed.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0334" w14:textId="77777777" w:rsidR="006570CE" w:rsidRPr="00215AAF" w:rsidRDefault="006570CE" w:rsidP="006570CE">
            <w:pPr>
              <w:pStyle w:val="TableRowCentered"/>
              <w:jc w:val="left"/>
              <w:rPr>
                <w:color w:val="auto"/>
                <w:sz w:val="20"/>
              </w:rPr>
            </w:pPr>
            <w:r w:rsidRPr="00215AAF">
              <w:rPr>
                <w:color w:val="auto"/>
                <w:sz w:val="20"/>
              </w:rPr>
              <w:t>2</w:t>
            </w:r>
          </w:p>
          <w:p w14:paraId="2A7D552F" w14:textId="3DBCD67B" w:rsidR="00832A27" w:rsidRPr="00215AAF" w:rsidRDefault="006570CE" w:rsidP="006570CE">
            <w:pPr>
              <w:pStyle w:val="TableRowCentered"/>
              <w:jc w:val="left"/>
              <w:rPr>
                <w:color w:val="auto"/>
                <w:sz w:val="20"/>
              </w:rPr>
            </w:pPr>
            <w:r w:rsidRPr="00215AAF">
              <w:rPr>
                <w:color w:val="auto"/>
                <w:sz w:val="20"/>
              </w:rPr>
              <w:t>3</w:t>
            </w:r>
          </w:p>
        </w:tc>
      </w:tr>
      <w:tr w:rsidR="00BC77CC" w14:paraId="5945EDA7" w14:textId="77777777" w:rsidTr="00215AAF">
        <w:tc>
          <w:tcPr>
            <w:tcW w:w="1548" w:type="dxa"/>
            <w:tcBorders>
              <w:top w:val="single" w:sz="4" w:space="0" w:color="000000"/>
              <w:left w:val="single" w:sz="4" w:space="0" w:color="000000"/>
              <w:bottom w:val="single" w:sz="4" w:space="0" w:color="000000"/>
              <w:right w:val="single" w:sz="4" w:space="0" w:color="000000"/>
            </w:tcBorders>
          </w:tcPr>
          <w:p w14:paraId="5B9EA614" w14:textId="6D258874" w:rsidR="00BC77CC" w:rsidRPr="00215AAF" w:rsidRDefault="00BC77CC" w:rsidP="009D1886">
            <w:pPr>
              <w:pStyle w:val="TableRow"/>
              <w:rPr>
                <w:color w:val="auto"/>
                <w:sz w:val="20"/>
                <w:szCs w:val="20"/>
              </w:rPr>
            </w:pPr>
            <w:r w:rsidRPr="00215AAF">
              <w:rPr>
                <w:color w:val="auto"/>
                <w:sz w:val="20"/>
                <w:szCs w:val="20"/>
              </w:rPr>
              <w:t>To address gaps in learning as part of Catch up strategy.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AA0A9" w14:textId="77777777" w:rsidR="00BC77CC" w:rsidRPr="00215AAF" w:rsidRDefault="00BC77CC" w:rsidP="00BC77CC">
            <w:pPr>
              <w:pStyle w:val="TableRow"/>
              <w:ind w:left="0"/>
              <w:rPr>
                <w:rStyle w:val="PlaceholderText"/>
                <w:color w:val="auto"/>
                <w:sz w:val="20"/>
                <w:szCs w:val="20"/>
              </w:rPr>
            </w:pPr>
            <w:r w:rsidRPr="00215AAF">
              <w:rPr>
                <w:rStyle w:val="PlaceholderText"/>
                <w:color w:val="auto"/>
                <w:sz w:val="20"/>
                <w:szCs w:val="20"/>
              </w:rPr>
              <w:t>Use diagnostic assessments to identify children who would benefit from 1:1 or small group tutoring in Maths or English.</w:t>
            </w:r>
          </w:p>
          <w:p w14:paraId="7056472C" w14:textId="586DF8D9" w:rsidR="00BC77CC" w:rsidRPr="00215AAF" w:rsidRDefault="00BC77CC" w:rsidP="00BC77CC">
            <w:pPr>
              <w:pStyle w:val="TableRow"/>
              <w:ind w:left="0"/>
              <w:rPr>
                <w:rStyle w:val="PlaceholderText"/>
                <w:color w:val="auto"/>
                <w:sz w:val="20"/>
                <w:szCs w:val="20"/>
              </w:rPr>
            </w:pPr>
            <w:r w:rsidRPr="00215AAF">
              <w:rPr>
                <w:rStyle w:val="PlaceholderText"/>
                <w:color w:val="auto"/>
                <w:sz w:val="20"/>
                <w:szCs w:val="20"/>
              </w:rPr>
              <w:t>Teachers or Teacher Assistants to undertake after-school tutoring sessions.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55121" w14:textId="1D7DBBB8" w:rsidR="00BC77CC" w:rsidRPr="00215AAF" w:rsidRDefault="00215AAF" w:rsidP="009D1886">
            <w:pPr>
              <w:spacing w:after="0"/>
              <w:jc w:val="both"/>
              <w:rPr>
                <w:rFonts w:cs="Arial"/>
                <w:color w:val="auto"/>
                <w:sz w:val="20"/>
                <w:szCs w:val="20"/>
              </w:rPr>
            </w:pPr>
            <w:r w:rsidRPr="00215AAF">
              <w:rPr>
                <w:rFonts w:cs="Arial"/>
                <w:color w:val="2B3A42"/>
                <w:sz w:val="20"/>
                <w:szCs w:val="20"/>
                <w:shd w:val="clear" w:color="auto" w:fill="FFFFFF"/>
              </w:rPr>
              <w:t>Evidence indicates that one to one tuition can be effective, delivering approximately five additional months’ progress on average. EEF toolkit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CC575" w14:textId="77777777" w:rsidR="00BC77CC" w:rsidRPr="00215AAF" w:rsidRDefault="00BC77CC" w:rsidP="006570CE">
            <w:pPr>
              <w:pStyle w:val="TableRowCentered"/>
              <w:jc w:val="left"/>
              <w:rPr>
                <w:color w:val="auto"/>
                <w:sz w:val="20"/>
              </w:rPr>
            </w:pPr>
            <w:r w:rsidRPr="00215AAF">
              <w:rPr>
                <w:color w:val="auto"/>
                <w:sz w:val="20"/>
              </w:rPr>
              <w:t>3</w:t>
            </w:r>
          </w:p>
          <w:p w14:paraId="3636396D" w14:textId="57669BCC" w:rsidR="00BC77CC" w:rsidRPr="00215AAF" w:rsidRDefault="00BC77CC" w:rsidP="006570CE">
            <w:pPr>
              <w:pStyle w:val="TableRowCentered"/>
              <w:jc w:val="left"/>
              <w:rPr>
                <w:color w:val="auto"/>
                <w:sz w:val="20"/>
              </w:rPr>
            </w:pPr>
            <w:r w:rsidRPr="00215AAF">
              <w:rPr>
                <w:color w:val="auto"/>
                <w:sz w:val="20"/>
              </w:rPr>
              <w:t>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7A8B97A" w:rsidR="00E66558" w:rsidRDefault="009D71E8">
      <w:pPr>
        <w:spacing w:before="240" w:after="120"/>
      </w:pPr>
      <w:r>
        <w:t xml:space="preserve">Budgeted cost: £ </w:t>
      </w:r>
      <w:r w:rsidR="00E06013">
        <w:rPr>
          <w:i/>
          <w:iCs/>
        </w:rPr>
        <w:t>24,7</w:t>
      </w:r>
      <w:r w:rsidR="006570CE">
        <w:rPr>
          <w:i/>
          <w:iCs/>
        </w:rPr>
        <w:t>00</w:t>
      </w:r>
    </w:p>
    <w:tbl>
      <w:tblPr>
        <w:tblW w:w="5153" w:type="pct"/>
        <w:tblCellMar>
          <w:left w:w="10" w:type="dxa"/>
          <w:right w:w="10" w:type="dxa"/>
        </w:tblCellMar>
        <w:tblLook w:val="04A0" w:firstRow="1" w:lastRow="0" w:firstColumn="1" w:lastColumn="0" w:noHBand="0" w:noVBand="1"/>
      </w:tblPr>
      <w:tblGrid>
        <w:gridCol w:w="1555"/>
        <w:gridCol w:w="2693"/>
        <w:gridCol w:w="3969"/>
        <w:gridCol w:w="1559"/>
      </w:tblGrid>
      <w:tr w:rsidR="006570CE" w14:paraId="2A7D5537" w14:textId="77777777" w:rsidTr="00215AAF">
        <w:tc>
          <w:tcPr>
            <w:tcW w:w="1555" w:type="dxa"/>
            <w:tcBorders>
              <w:top w:val="single" w:sz="4" w:space="0" w:color="000000"/>
              <w:left w:val="single" w:sz="4" w:space="0" w:color="000000"/>
              <w:bottom w:val="single" w:sz="4" w:space="0" w:color="000000"/>
              <w:right w:val="single" w:sz="4" w:space="0" w:color="000000"/>
            </w:tcBorders>
            <w:shd w:val="clear" w:color="auto" w:fill="D8E2E9"/>
          </w:tcPr>
          <w:p w14:paraId="74429494" w14:textId="5D514567" w:rsidR="006570CE" w:rsidRDefault="006570CE" w:rsidP="006570CE">
            <w:pPr>
              <w:pStyle w:val="TableHeader"/>
              <w:jc w:val="left"/>
            </w:pPr>
            <w:r>
              <w:t>Focus</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35AACB36" w:rsidR="006570CE" w:rsidRDefault="006570CE" w:rsidP="006570CE">
            <w:pPr>
              <w:pStyle w:val="TableHeader"/>
              <w:jc w:val="left"/>
            </w:pPr>
            <w:r>
              <w:t>Activity</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6570CE" w:rsidRDefault="006570CE" w:rsidP="006570CE">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6570CE" w:rsidRDefault="006570CE" w:rsidP="006570CE">
            <w:pPr>
              <w:pStyle w:val="TableHeader"/>
              <w:jc w:val="left"/>
            </w:pPr>
            <w:r>
              <w:t>Challenge number(s) addressed</w:t>
            </w:r>
          </w:p>
        </w:tc>
      </w:tr>
      <w:tr w:rsidR="006570CE" w14:paraId="2A7D553B" w14:textId="77777777" w:rsidTr="00215AAF">
        <w:tc>
          <w:tcPr>
            <w:tcW w:w="1555" w:type="dxa"/>
            <w:tcBorders>
              <w:top w:val="single" w:sz="4" w:space="0" w:color="000000"/>
              <w:left w:val="single" w:sz="4" w:space="0" w:color="000000"/>
              <w:bottom w:val="single" w:sz="4" w:space="0" w:color="000000"/>
              <w:right w:val="single" w:sz="4" w:space="0" w:color="000000"/>
            </w:tcBorders>
          </w:tcPr>
          <w:p w14:paraId="0C709A90" w14:textId="11E07921" w:rsidR="006570CE" w:rsidRPr="00215AAF" w:rsidRDefault="006570CE" w:rsidP="006570CE">
            <w:pPr>
              <w:pStyle w:val="TableRow"/>
              <w:rPr>
                <w:rStyle w:val="PlaceholderText"/>
                <w:rFonts w:cs="Arial"/>
                <w:color w:val="auto"/>
                <w:sz w:val="20"/>
                <w:szCs w:val="20"/>
              </w:rPr>
            </w:pPr>
            <w:r w:rsidRPr="00215AAF">
              <w:rPr>
                <w:color w:val="auto"/>
                <w:sz w:val="20"/>
                <w:szCs w:val="20"/>
              </w:rPr>
              <w:t>Ensure the teaching of word recognition is consistent and has a high priority to develop fluent readers.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596CB" w14:textId="394AFA49" w:rsidR="006570CE" w:rsidRPr="00215AAF" w:rsidRDefault="006570CE" w:rsidP="006570CE">
            <w:pPr>
              <w:pStyle w:val="TableRow"/>
              <w:rPr>
                <w:rStyle w:val="PlaceholderText"/>
                <w:rFonts w:cs="Arial"/>
                <w:color w:val="auto"/>
                <w:sz w:val="20"/>
                <w:szCs w:val="20"/>
              </w:rPr>
            </w:pPr>
            <w:r w:rsidRPr="00215AAF">
              <w:rPr>
                <w:rStyle w:val="PlaceholderText"/>
                <w:rFonts w:cs="Arial"/>
                <w:color w:val="auto"/>
                <w:sz w:val="20"/>
                <w:szCs w:val="20"/>
              </w:rPr>
              <w:t xml:space="preserve">Review </w:t>
            </w:r>
            <w:proofErr w:type="spellStart"/>
            <w:r w:rsidRPr="00215AAF">
              <w:rPr>
                <w:rStyle w:val="PlaceholderText"/>
                <w:rFonts w:cs="Arial"/>
                <w:color w:val="auto"/>
                <w:sz w:val="20"/>
                <w:szCs w:val="20"/>
              </w:rPr>
              <w:t>Homereaders</w:t>
            </w:r>
            <w:proofErr w:type="spellEnd"/>
            <w:r w:rsidRPr="00215AAF">
              <w:rPr>
                <w:rStyle w:val="PlaceholderText"/>
                <w:rFonts w:cs="Arial"/>
                <w:color w:val="auto"/>
                <w:sz w:val="20"/>
                <w:szCs w:val="20"/>
              </w:rPr>
              <w:t xml:space="preserve"> to ensure they reflect the phonics stage.</w:t>
            </w:r>
          </w:p>
          <w:p w14:paraId="2A7D5538" w14:textId="477FDCC4" w:rsidR="006570CE" w:rsidRPr="00215AAF" w:rsidRDefault="006570CE" w:rsidP="006570CE">
            <w:pPr>
              <w:pStyle w:val="TableRow"/>
              <w:rPr>
                <w:rFonts w:cs="Arial"/>
                <w:color w:val="auto"/>
                <w:sz w:val="20"/>
                <w:szCs w:val="20"/>
              </w:rPr>
            </w:pPr>
            <w:r w:rsidRPr="00215AAF">
              <w:rPr>
                <w:rStyle w:val="PlaceholderText"/>
                <w:rFonts w:cs="Arial"/>
                <w:color w:val="auto"/>
                <w:sz w:val="20"/>
                <w:szCs w:val="20"/>
              </w:rPr>
              <w:t>Promote reading through a</w:t>
            </w:r>
            <w:r w:rsidR="000D1B41" w:rsidRPr="00215AAF">
              <w:rPr>
                <w:rStyle w:val="PlaceholderText"/>
                <w:rFonts w:cs="Arial"/>
                <w:color w:val="auto"/>
                <w:sz w:val="20"/>
                <w:szCs w:val="20"/>
              </w:rPr>
              <w:t>rtistic mural in new library, author visit and theatrical performances.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D196" w14:textId="77777777" w:rsidR="006570CE" w:rsidRPr="00215AAF" w:rsidRDefault="006570CE" w:rsidP="006570CE">
            <w:pPr>
              <w:pStyle w:val="TableRowCentered"/>
              <w:jc w:val="left"/>
              <w:rPr>
                <w:color w:val="auto"/>
                <w:sz w:val="20"/>
              </w:rPr>
            </w:pPr>
            <w:r w:rsidRPr="00215AAF">
              <w:rPr>
                <w:color w:val="auto"/>
                <w:sz w:val="20"/>
              </w:rPr>
              <w:t>The reading Framework July 2021</w:t>
            </w:r>
          </w:p>
          <w:p w14:paraId="2A7D5539" w14:textId="77777777" w:rsidR="006570CE" w:rsidRPr="00215AAF" w:rsidRDefault="006570CE" w:rsidP="006570CE">
            <w:pPr>
              <w:pStyle w:val="TableRowCentered"/>
              <w:jc w:val="left"/>
              <w:rPr>
                <w:color w:val="auto"/>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1ACC" w14:textId="77777777" w:rsidR="000D1B41" w:rsidRPr="00215AAF" w:rsidRDefault="000D1B41" w:rsidP="006570CE">
            <w:pPr>
              <w:pStyle w:val="TableRowCentered"/>
              <w:jc w:val="left"/>
              <w:rPr>
                <w:sz w:val="20"/>
              </w:rPr>
            </w:pPr>
            <w:r w:rsidRPr="00215AAF">
              <w:rPr>
                <w:sz w:val="20"/>
              </w:rPr>
              <w:t>1</w:t>
            </w:r>
          </w:p>
          <w:p w14:paraId="3B68BF56" w14:textId="22D404D5" w:rsidR="006570CE" w:rsidRPr="00215AAF" w:rsidRDefault="006570CE" w:rsidP="006570CE">
            <w:pPr>
              <w:pStyle w:val="TableRowCentered"/>
              <w:jc w:val="left"/>
              <w:rPr>
                <w:sz w:val="20"/>
              </w:rPr>
            </w:pPr>
            <w:r w:rsidRPr="00215AAF">
              <w:rPr>
                <w:sz w:val="20"/>
              </w:rPr>
              <w:t>2</w:t>
            </w:r>
          </w:p>
          <w:p w14:paraId="12838500" w14:textId="77777777" w:rsidR="006570CE" w:rsidRPr="00215AAF" w:rsidRDefault="006570CE" w:rsidP="006570CE">
            <w:pPr>
              <w:pStyle w:val="TableRowCentered"/>
              <w:jc w:val="left"/>
              <w:rPr>
                <w:sz w:val="20"/>
              </w:rPr>
            </w:pPr>
            <w:r w:rsidRPr="00215AAF">
              <w:rPr>
                <w:sz w:val="20"/>
              </w:rPr>
              <w:t>3</w:t>
            </w:r>
          </w:p>
          <w:p w14:paraId="2A7D553A" w14:textId="50F0A36E" w:rsidR="006570CE" w:rsidRPr="00215AAF" w:rsidRDefault="006570CE" w:rsidP="006570CE">
            <w:pPr>
              <w:pStyle w:val="TableRowCentered"/>
              <w:jc w:val="left"/>
              <w:rPr>
                <w:sz w:val="20"/>
              </w:rPr>
            </w:pPr>
            <w:r w:rsidRPr="00215AAF">
              <w:rPr>
                <w:sz w:val="20"/>
              </w:rPr>
              <w:t>5</w:t>
            </w:r>
          </w:p>
        </w:tc>
      </w:tr>
      <w:tr w:rsidR="006570CE" w14:paraId="2A7D553F" w14:textId="77777777" w:rsidTr="00215AAF">
        <w:tc>
          <w:tcPr>
            <w:tcW w:w="1555" w:type="dxa"/>
            <w:tcBorders>
              <w:top w:val="single" w:sz="4" w:space="0" w:color="000000"/>
              <w:left w:val="single" w:sz="4" w:space="0" w:color="000000"/>
              <w:bottom w:val="single" w:sz="4" w:space="0" w:color="000000"/>
              <w:right w:val="single" w:sz="4" w:space="0" w:color="000000"/>
            </w:tcBorders>
          </w:tcPr>
          <w:p w14:paraId="5BB94FBB" w14:textId="2621A083" w:rsidR="006570CE" w:rsidRPr="00215AAF" w:rsidRDefault="006570CE">
            <w:pPr>
              <w:pStyle w:val="TableRow"/>
              <w:rPr>
                <w:i/>
                <w:color w:val="auto"/>
                <w:sz w:val="20"/>
                <w:szCs w:val="20"/>
              </w:rPr>
            </w:pPr>
            <w:r w:rsidRPr="00215AAF">
              <w:rPr>
                <w:color w:val="auto"/>
                <w:sz w:val="20"/>
                <w:szCs w:val="20"/>
              </w:rPr>
              <w:t>To embed ‘Teaching for Mastery’ in mathematics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6F91A58" w:rsidR="006570CE" w:rsidRPr="00215AAF" w:rsidRDefault="009D1886" w:rsidP="009D1886">
            <w:pPr>
              <w:pStyle w:val="TableRow"/>
              <w:rPr>
                <w:rFonts w:cs="Arial"/>
                <w:color w:val="auto"/>
                <w:sz w:val="20"/>
                <w:szCs w:val="20"/>
              </w:rPr>
            </w:pPr>
            <w:r w:rsidRPr="00215AAF">
              <w:rPr>
                <w:rStyle w:val="PlaceholderText"/>
                <w:rFonts w:cs="Arial"/>
                <w:color w:val="auto"/>
                <w:sz w:val="20"/>
                <w:szCs w:val="20"/>
              </w:rPr>
              <w:t xml:space="preserve">Purchase Timetable </w:t>
            </w:r>
            <w:proofErr w:type="spellStart"/>
            <w:r w:rsidRPr="00215AAF">
              <w:rPr>
                <w:rStyle w:val="PlaceholderText"/>
                <w:rFonts w:cs="Arial"/>
                <w:color w:val="auto"/>
                <w:sz w:val="20"/>
                <w:szCs w:val="20"/>
              </w:rPr>
              <w:t>Rockstars</w:t>
            </w:r>
            <w:proofErr w:type="spellEnd"/>
            <w:r w:rsidRPr="00215AAF">
              <w:rPr>
                <w:rStyle w:val="PlaceholderText"/>
                <w:rFonts w:cs="Arial"/>
                <w:color w:val="auto"/>
                <w:sz w:val="20"/>
                <w:szCs w:val="20"/>
              </w:rPr>
              <w:t xml:space="preserve"> for pupils to use at home and school.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90393" w14:textId="77777777" w:rsidR="009D1886" w:rsidRPr="00215AAF" w:rsidRDefault="009D1886" w:rsidP="009D1886">
            <w:pPr>
              <w:pStyle w:val="TableRowCentered"/>
              <w:jc w:val="left"/>
              <w:rPr>
                <w:color w:val="auto"/>
                <w:sz w:val="20"/>
              </w:rPr>
            </w:pPr>
            <w:r w:rsidRPr="00215AAF">
              <w:rPr>
                <w:color w:val="auto"/>
                <w:sz w:val="20"/>
              </w:rPr>
              <w:t>EEF Cognitive Sciences in the Classroom July 2021</w:t>
            </w:r>
          </w:p>
          <w:p w14:paraId="2A7D553D" w14:textId="77777777" w:rsidR="006570CE" w:rsidRPr="00215AAF" w:rsidRDefault="006570CE">
            <w:pPr>
              <w:pStyle w:val="TableRowCentered"/>
              <w:jc w:val="left"/>
              <w:rPr>
                <w:color w:val="auto"/>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F8ACB59" w:rsidR="006570CE" w:rsidRPr="00215AAF" w:rsidRDefault="009D1886">
            <w:pPr>
              <w:pStyle w:val="TableRowCentered"/>
              <w:jc w:val="left"/>
              <w:rPr>
                <w:sz w:val="20"/>
              </w:rPr>
            </w:pPr>
            <w:r w:rsidRPr="00215AAF">
              <w:rPr>
                <w:sz w:val="20"/>
              </w:rPr>
              <w:t>2</w:t>
            </w:r>
          </w:p>
        </w:tc>
      </w:tr>
      <w:tr w:rsidR="000D1B41" w14:paraId="61373DFF" w14:textId="77777777" w:rsidTr="00215AAF">
        <w:tc>
          <w:tcPr>
            <w:tcW w:w="1555" w:type="dxa"/>
            <w:tcBorders>
              <w:top w:val="single" w:sz="4" w:space="0" w:color="000000"/>
              <w:left w:val="single" w:sz="4" w:space="0" w:color="000000"/>
              <w:bottom w:val="single" w:sz="4" w:space="0" w:color="000000"/>
              <w:right w:val="single" w:sz="4" w:space="0" w:color="000000"/>
            </w:tcBorders>
          </w:tcPr>
          <w:p w14:paraId="77AB140A" w14:textId="3B60FA2F" w:rsidR="000D1B41" w:rsidRPr="00215AAF" w:rsidRDefault="000D1B41">
            <w:pPr>
              <w:pStyle w:val="TableRow"/>
              <w:rPr>
                <w:color w:val="auto"/>
                <w:sz w:val="20"/>
                <w:szCs w:val="20"/>
              </w:rPr>
            </w:pPr>
            <w:r w:rsidRPr="00215AAF">
              <w:rPr>
                <w:color w:val="auto"/>
                <w:sz w:val="20"/>
                <w:szCs w:val="20"/>
              </w:rPr>
              <w:t>To ensure pupils develop the skills and capacity to regulate emotions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BFF0" w14:textId="72E876F3" w:rsidR="000D1B41" w:rsidRPr="00215AAF" w:rsidRDefault="000D1B41" w:rsidP="009D1886">
            <w:pPr>
              <w:pStyle w:val="TableRow"/>
              <w:rPr>
                <w:rStyle w:val="PlaceholderText"/>
                <w:rFonts w:cs="Arial"/>
                <w:color w:val="auto"/>
                <w:sz w:val="20"/>
                <w:szCs w:val="20"/>
              </w:rPr>
            </w:pPr>
            <w:r w:rsidRPr="00215AAF">
              <w:rPr>
                <w:rStyle w:val="PlaceholderText"/>
                <w:rFonts w:cs="Arial"/>
                <w:color w:val="auto"/>
                <w:sz w:val="20"/>
                <w:szCs w:val="20"/>
              </w:rPr>
              <w:t>1:1 support/counselling for pupils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5BE" w14:textId="77777777" w:rsidR="00BC77CC" w:rsidRPr="00215AAF" w:rsidRDefault="00BC77CC" w:rsidP="00BC77CC">
            <w:pPr>
              <w:rPr>
                <w:rFonts w:cs="Arial"/>
                <w:sz w:val="20"/>
                <w:szCs w:val="20"/>
              </w:rPr>
            </w:pPr>
            <w:r w:rsidRPr="00215AAF">
              <w:rPr>
                <w:rFonts w:cs="Arial"/>
                <w:sz w:val="20"/>
                <w:szCs w:val="20"/>
              </w:rPr>
              <w:t>Pupils are not able to access all their cognitive functions when they do not feel safe and secure and are struggling to regulate their emotions (</w:t>
            </w:r>
            <w:proofErr w:type="spellStart"/>
            <w:r w:rsidRPr="00215AAF">
              <w:rPr>
                <w:rFonts w:cs="Arial"/>
                <w:sz w:val="20"/>
                <w:szCs w:val="20"/>
              </w:rPr>
              <w:t>Maslovs</w:t>
            </w:r>
            <w:proofErr w:type="spellEnd"/>
            <w:r w:rsidRPr="00215AAF">
              <w:rPr>
                <w:rFonts w:cs="Arial"/>
                <w:sz w:val="20"/>
                <w:szCs w:val="20"/>
              </w:rPr>
              <w:t xml:space="preserve"> hierarchy of needs). We have an increasing number of pupils who are experiencing anxiety or emotional turmoil. </w:t>
            </w:r>
            <w:r w:rsidRPr="00215AAF">
              <w:rPr>
                <w:rFonts w:cs="Arial"/>
                <w:sz w:val="20"/>
                <w:szCs w:val="20"/>
              </w:rPr>
              <w:lastRenderedPageBreak/>
              <w:t xml:space="preserve">This has been further increased due to </w:t>
            </w:r>
            <w:proofErr w:type="spellStart"/>
            <w:r w:rsidRPr="00215AAF">
              <w:rPr>
                <w:rFonts w:cs="Arial"/>
                <w:sz w:val="20"/>
                <w:szCs w:val="20"/>
              </w:rPr>
              <w:t>Covid</w:t>
            </w:r>
            <w:proofErr w:type="spellEnd"/>
            <w:r w:rsidRPr="00215AAF">
              <w:rPr>
                <w:rFonts w:cs="Arial"/>
                <w:sz w:val="20"/>
                <w:szCs w:val="20"/>
              </w:rPr>
              <w:t xml:space="preserve"> 19. </w:t>
            </w:r>
          </w:p>
          <w:p w14:paraId="44CC4137" w14:textId="13278AFF" w:rsidR="000D1B41" w:rsidRPr="00215AAF" w:rsidRDefault="00BC77CC" w:rsidP="008F06C8">
            <w:pPr>
              <w:spacing w:after="0"/>
              <w:rPr>
                <w:rFonts w:cs="Arial"/>
                <w:sz w:val="20"/>
                <w:szCs w:val="20"/>
              </w:rPr>
            </w:pPr>
            <w:r w:rsidRPr="00215AAF">
              <w:rPr>
                <w:rFonts w:cs="Arial"/>
                <w:sz w:val="20"/>
                <w:szCs w:val="20"/>
              </w:rPr>
              <w:t>The Sutton Trust toolkit identifies that Social and Emotional Learning interventions have an identifiable and valuable impact on attitudes to learning and social relationships in school. They also have an average overall impact of four months' additional progress on attainment.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AB87" w14:textId="109A75E4" w:rsidR="000D1B41" w:rsidRPr="00215AAF" w:rsidRDefault="00BC77CC">
            <w:pPr>
              <w:pStyle w:val="TableRowCentered"/>
              <w:jc w:val="left"/>
              <w:rPr>
                <w:sz w:val="20"/>
              </w:rPr>
            </w:pPr>
            <w:r w:rsidRPr="00215AAF">
              <w:rPr>
                <w:sz w:val="20"/>
              </w:rPr>
              <w:lastRenderedPageBreak/>
              <w:t>4</w:t>
            </w:r>
          </w:p>
        </w:tc>
      </w:tr>
      <w:tr w:rsidR="009D1886" w14:paraId="31959610" w14:textId="77777777" w:rsidTr="00215AAF">
        <w:tc>
          <w:tcPr>
            <w:tcW w:w="1555" w:type="dxa"/>
            <w:tcBorders>
              <w:top w:val="single" w:sz="4" w:space="0" w:color="000000"/>
              <w:left w:val="single" w:sz="4" w:space="0" w:color="000000"/>
              <w:bottom w:val="single" w:sz="4" w:space="0" w:color="000000"/>
              <w:right w:val="single" w:sz="4" w:space="0" w:color="000000"/>
            </w:tcBorders>
          </w:tcPr>
          <w:p w14:paraId="5AD39F3F" w14:textId="674B5DEF" w:rsidR="009D1886" w:rsidRPr="00215AAF" w:rsidRDefault="009D1886">
            <w:pPr>
              <w:pStyle w:val="TableRow"/>
              <w:rPr>
                <w:color w:val="auto"/>
                <w:sz w:val="20"/>
                <w:szCs w:val="20"/>
              </w:rPr>
            </w:pPr>
            <w:r w:rsidRPr="00215AAF">
              <w:rPr>
                <w:rStyle w:val="PlaceholderText"/>
                <w:color w:val="auto"/>
                <w:sz w:val="20"/>
                <w:szCs w:val="20"/>
              </w:rPr>
              <w:t>Increase attendance and improve punctuality for Pupil Premium pupils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2781" w14:textId="1C3730ED" w:rsidR="009D1886" w:rsidRPr="00215AAF" w:rsidRDefault="009D1886" w:rsidP="009D1886">
            <w:pPr>
              <w:pStyle w:val="TableRow"/>
              <w:rPr>
                <w:rStyle w:val="PlaceholderText"/>
                <w:rFonts w:cs="Arial"/>
                <w:color w:val="auto"/>
                <w:sz w:val="20"/>
                <w:szCs w:val="20"/>
              </w:rPr>
            </w:pPr>
            <w:r w:rsidRPr="00215AAF">
              <w:rPr>
                <w:rFonts w:cs="Arial"/>
                <w:color w:val="auto"/>
                <w:sz w:val="20"/>
                <w:szCs w:val="20"/>
              </w:rPr>
              <w:t>An attendance officer to follow up on first day contact and regular non-attendance. This person will work with families and where appropriate to develop action plans and identify how the school can offer further support.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3DC0" w14:textId="4B6D6765" w:rsidR="009D1886" w:rsidRPr="00215AAF" w:rsidRDefault="00D6193E" w:rsidP="009D1886">
            <w:pPr>
              <w:pStyle w:val="TableRowCentered"/>
              <w:jc w:val="left"/>
              <w:rPr>
                <w:rFonts w:cs="Arial"/>
                <w:color w:val="auto"/>
                <w:sz w:val="20"/>
              </w:rPr>
            </w:pPr>
            <w:r w:rsidRPr="00215AAF">
              <w:rPr>
                <w:rFonts w:cs="Arial"/>
                <w:color w:val="auto"/>
                <w:sz w:val="20"/>
              </w:rPr>
              <w:t>Reports such as Raising attendance NFER recognise the impact of a member of staff with the time to follow up first day response and work with families to improve attendance.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F04D" w14:textId="77777777" w:rsidR="009D1886" w:rsidRPr="00215AAF" w:rsidRDefault="009D1886">
            <w:pPr>
              <w:pStyle w:val="TableRowCentered"/>
              <w:jc w:val="left"/>
              <w:rPr>
                <w:sz w:val="20"/>
              </w:rPr>
            </w:pPr>
          </w:p>
        </w:tc>
      </w:tr>
    </w:tbl>
    <w:p w14:paraId="2A7D5540" w14:textId="77777777" w:rsidR="00E66558" w:rsidRDefault="00E66558">
      <w:pPr>
        <w:spacing w:before="240" w:after="0"/>
        <w:rPr>
          <w:b/>
          <w:bCs/>
          <w:color w:val="104F75"/>
          <w:sz w:val="28"/>
          <w:szCs w:val="28"/>
        </w:rPr>
      </w:pPr>
    </w:p>
    <w:p w14:paraId="2A7D5541" w14:textId="12AE8717" w:rsidR="00E66558" w:rsidRDefault="009D71E8" w:rsidP="00120AB1">
      <w:r>
        <w:rPr>
          <w:b/>
          <w:bCs/>
          <w:color w:val="104F75"/>
          <w:sz w:val="28"/>
          <w:szCs w:val="28"/>
        </w:rPr>
        <w:t xml:space="preserve">Total budgeted cost: £ </w:t>
      </w:r>
      <w:r w:rsidR="00F45CC4">
        <w:rPr>
          <w:i/>
          <w:iCs/>
          <w:color w:val="104F75"/>
          <w:sz w:val="28"/>
          <w:szCs w:val="28"/>
        </w:rPr>
        <w:t>122,485</w:t>
      </w:r>
      <w:r w:rsidR="00215AAF">
        <w:rPr>
          <w:i/>
          <w:iCs/>
          <w:color w:val="104F75"/>
          <w:sz w:val="28"/>
          <w:szCs w:val="28"/>
        </w:rPr>
        <w:t xml:space="preserve"> (£6,345 to allocate)</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9C6F925" w:rsidR="00E66558" w:rsidRDefault="009D71E8">
      <w:r>
        <w:t xml:space="preserve">This details the impact that our pupil premium activity had on pupils in the 2020 to 2021 academic year. </w:t>
      </w:r>
    </w:p>
    <w:tbl>
      <w:tblPr>
        <w:tblW w:w="9918" w:type="dxa"/>
        <w:tblCellMar>
          <w:left w:w="10" w:type="dxa"/>
          <w:right w:w="10" w:type="dxa"/>
        </w:tblCellMar>
        <w:tblLook w:val="04A0" w:firstRow="1" w:lastRow="0" w:firstColumn="1" w:lastColumn="0" w:noHBand="0" w:noVBand="1"/>
      </w:tblPr>
      <w:tblGrid>
        <w:gridCol w:w="2689"/>
        <w:gridCol w:w="7229"/>
      </w:tblGrid>
      <w:tr w:rsidR="00052A25" w14:paraId="249D044B" w14:textId="77777777" w:rsidTr="00215AAF">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B285" w14:textId="77777777" w:rsidR="00052A25" w:rsidRDefault="00052A25" w:rsidP="00343066">
            <w:pPr>
              <w:pStyle w:val="TableRow"/>
              <w:rPr>
                <w:b/>
                <w:sz w:val="22"/>
                <w:szCs w:val="22"/>
              </w:rPr>
            </w:pPr>
            <w:r>
              <w:rPr>
                <w:b/>
                <w:sz w:val="22"/>
                <w:szCs w:val="22"/>
              </w:rPr>
              <w:t>Aim</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6C4F" w14:textId="77777777" w:rsidR="00052A25" w:rsidRDefault="00052A25" w:rsidP="00343066">
            <w:pPr>
              <w:pStyle w:val="TableRow"/>
              <w:rPr>
                <w:b/>
                <w:sz w:val="22"/>
                <w:szCs w:val="22"/>
              </w:rPr>
            </w:pPr>
            <w:r>
              <w:rPr>
                <w:b/>
                <w:sz w:val="22"/>
                <w:szCs w:val="22"/>
              </w:rPr>
              <w:t>Outcome</w:t>
            </w:r>
          </w:p>
        </w:tc>
      </w:tr>
      <w:tr w:rsidR="00052A25" w14:paraId="2946FA93" w14:textId="77777777" w:rsidTr="00215AAF">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72CF" w14:textId="77777777" w:rsidR="00052A25" w:rsidRPr="00011FD8" w:rsidRDefault="00052A25" w:rsidP="00343066">
            <w:pPr>
              <w:pStyle w:val="TableRow"/>
              <w:rPr>
                <w:sz w:val="22"/>
                <w:szCs w:val="22"/>
              </w:rPr>
            </w:pPr>
            <w:r w:rsidRPr="00011FD8">
              <w:rPr>
                <w:rFonts w:cs="Arial"/>
                <w:sz w:val="22"/>
                <w:szCs w:val="22"/>
              </w:rPr>
              <w:t>Pupils able to understand and regulate their emotions.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4691" w14:textId="77777777" w:rsidR="00052A25" w:rsidRPr="00214A01" w:rsidRDefault="00052A25" w:rsidP="00343066">
            <w:pPr>
              <w:pStyle w:val="TableRow"/>
              <w:jc w:val="both"/>
              <w:rPr>
                <w:sz w:val="22"/>
                <w:szCs w:val="22"/>
              </w:rPr>
            </w:pPr>
            <w:r w:rsidRPr="00214A01">
              <w:rPr>
                <w:rStyle w:val="PlaceholderText"/>
                <w:sz w:val="22"/>
                <w:szCs w:val="22"/>
              </w:rPr>
              <w:t>Staff have utilised Emotion Works resources to support pupils’ ability to regulate their emotions during these difficult times. Children have an increased understanding of their emotions and are developing an understanding of the things that help them personally to self-regulate under stress.</w:t>
            </w:r>
          </w:p>
        </w:tc>
      </w:tr>
      <w:tr w:rsidR="00052A25" w14:paraId="19374B81" w14:textId="77777777" w:rsidTr="00215AAF">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7A156" w14:textId="77777777" w:rsidR="00052A25" w:rsidRPr="00011FD8" w:rsidRDefault="00052A25" w:rsidP="00343066">
            <w:pPr>
              <w:pStyle w:val="TableRow"/>
              <w:rPr>
                <w:sz w:val="22"/>
                <w:szCs w:val="22"/>
              </w:rPr>
            </w:pPr>
            <w:r w:rsidRPr="00011FD8">
              <w:rPr>
                <w:rFonts w:cs="Arial"/>
                <w:sz w:val="22"/>
                <w:szCs w:val="22"/>
              </w:rPr>
              <w:t>Increased vocabulary and language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221A" w14:textId="77777777" w:rsidR="00052A25" w:rsidRPr="00214A01" w:rsidRDefault="00052A25" w:rsidP="00343066">
            <w:pPr>
              <w:pStyle w:val="TableRow"/>
              <w:rPr>
                <w:rStyle w:val="PlaceholderText"/>
                <w:color w:val="808080" w:themeColor="background1" w:themeShade="80"/>
                <w:sz w:val="22"/>
                <w:szCs w:val="22"/>
              </w:rPr>
            </w:pPr>
            <w:r w:rsidRPr="00214A01">
              <w:rPr>
                <w:rStyle w:val="PlaceholderText"/>
                <w:sz w:val="22"/>
                <w:szCs w:val="22"/>
              </w:rPr>
              <w:t xml:space="preserve">The attainment gap in Listening, Understanding and Speaking between PP and non-PP pupils in the EYFS reduced between Sept 2020 and </w:t>
            </w:r>
            <w:r w:rsidRPr="00214A01">
              <w:rPr>
                <w:rStyle w:val="PlaceholderText"/>
                <w:color w:val="808080" w:themeColor="background1" w:themeShade="80"/>
                <w:sz w:val="22"/>
                <w:szCs w:val="22"/>
              </w:rPr>
              <w:t>July 2021.</w:t>
            </w:r>
          </w:p>
          <w:p w14:paraId="03BA32B0" w14:textId="77777777" w:rsidR="00052A25" w:rsidRPr="00214A01" w:rsidRDefault="00052A25" w:rsidP="00343066">
            <w:pPr>
              <w:pStyle w:val="TableRow"/>
              <w:rPr>
                <w:sz w:val="22"/>
                <w:szCs w:val="22"/>
              </w:rPr>
            </w:pPr>
            <w:r w:rsidRPr="00214A01">
              <w:rPr>
                <w:color w:val="808080" w:themeColor="background1" w:themeShade="80"/>
                <w:sz w:val="22"/>
                <w:szCs w:val="22"/>
              </w:rPr>
              <w:t xml:space="preserve">63%, 68% and 90% of PP pupils made well above average progress in </w:t>
            </w:r>
            <w:r w:rsidRPr="00214A01">
              <w:rPr>
                <w:rStyle w:val="PlaceholderText"/>
                <w:color w:val="808080" w:themeColor="background1" w:themeShade="80"/>
                <w:sz w:val="22"/>
                <w:szCs w:val="22"/>
              </w:rPr>
              <w:t>Listening, Understanding and Speaking respectively.</w:t>
            </w:r>
          </w:p>
        </w:tc>
      </w:tr>
      <w:tr w:rsidR="00052A25" w14:paraId="2084217B" w14:textId="77777777" w:rsidTr="00215AAF">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844DD" w14:textId="77777777" w:rsidR="00052A25" w:rsidRPr="00011FD8" w:rsidRDefault="00052A25" w:rsidP="00343066">
            <w:pPr>
              <w:pStyle w:val="TableRow"/>
              <w:rPr>
                <w:sz w:val="22"/>
                <w:szCs w:val="22"/>
              </w:rPr>
            </w:pPr>
            <w:r w:rsidRPr="00011FD8">
              <w:rPr>
                <w:rFonts w:cs="Arial"/>
                <w:sz w:val="22"/>
                <w:szCs w:val="22"/>
              </w:rPr>
              <w:t>Increased resilience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CA8B" w14:textId="77777777" w:rsidR="00052A25" w:rsidRPr="00214A01" w:rsidRDefault="00052A25" w:rsidP="00343066">
            <w:pPr>
              <w:pStyle w:val="TableRow"/>
              <w:rPr>
                <w:rStyle w:val="PlaceholderText"/>
                <w:sz w:val="22"/>
                <w:szCs w:val="22"/>
              </w:rPr>
            </w:pPr>
            <w:r w:rsidRPr="00214A01">
              <w:rPr>
                <w:rStyle w:val="PlaceholderText"/>
                <w:sz w:val="22"/>
                <w:szCs w:val="22"/>
              </w:rPr>
              <w:t>All pupils demonstrated increased resilience and problem solving abilities during Forest School activities in Summer 2021.</w:t>
            </w:r>
          </w:p>
          <w:p w14:paraId="7EA524DD" w14:textId="77777777" w:rsidR="00052A25" w:rsidRPr="00214A01" w:rsidRDefault="00052A25" w:rsidP="00343066">
            <w:pPr>
              <w:pStyle w:val="TableRow"/>
              <w:rPr>
                <w:sz w:val="22"/>
                <w:szCs w:val="22"/>
              </w:rPr>
            </w:pPr>
            <w:r w:rsidRPr="00214A01">
              <w:rPr>
                <w:rStyle w:val="PlaceholderText"/>
                <w:sz w:val="22"/>
                <w:szCs w:val="22"/>
              </w:rPr>
              <w:t>This was reflected in pupil resilience within the classroom despite the disruption during the year.</w:t>
            </w:r>
            <w:r>
              <w:rPr>
                <w:rStyle w:val="PlaceholderText"/>
                <w:sz w:val="22"/>
                <w:szCs w:val="22"/>
              </w:rPr>
              <w:t xml:space="preserve"> Most pupils demonstrated a resilient approach to online learning and engaged well with the process. This was reflected in our analysis of the impact of Lockdown.</w:t>
            </w:r>
          </w:p>
        </w:tc>
      </w:tr>
      <w:tr w:rsidR="00052A25" w14:paraId="4C8FC203" w14:textId="77777777" w:rsidTr="00215AAF">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3471" w14:textId="77777777" w:rsidR="00052A25" w:rsidRPr="00011FD8" w:rsidRDefault="00052A25" w:rsidP="00343066">
            <w:pPr>
              <w:pStyle w:val="TableRow"/>
              <w:rPr>
                <w:rFonts w:cs="Arial"/>
                <w:sz w:val="22"/>
                <w:szCs w:val="22"/>
              </w:rPr>
            </w:pPr>
            <w:r w:rsidRPr="00011FD8">
              <w:rPr>
                <w:rFonts w:cs="Arial"/>
                <w:sz w:val="22"/>
                <w:szCs w:val="22"/>
              </w:rPr>
              <w:t>Increased ability to recall number facts and use these to solve problems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994D6" w14:textId="77777777" w:rsidR="00052A25" w:rsidRPr="00214A01" w:rsidRDefault="00052A25" w:rsidP="00343066">
            <w:pPr>
              <w:pStyle w:val="TableRow"/>
              <w:rPr>
                <w:rStyle w:val="PlaceholderText"/>
                <w:color w:val="808080" w:themeColor="background1" w:themeShade="80"/>
                <w:sz w:val="22"/>
                <w:szCs w:val="22"/>
              </w:rPr>
            </w:pPr>
            <w:r w:rsidRPr="00214A01">
              <w:rPr>
                <w:rStyle w:val="PlaceholderText"/>
                <w:color w:val="808080" w:themeColor="background1" w:themeShade="80"/>
                <w:sz w:val="22"/>
                <w:szCs w:val="22"/>
              </w:rPr>
              <w:t xml:space="preserve">The average score on the Multiplication check was 18.9 for PP pupils (compared with 19.6 for non-PP). 64% of PP pupils scored 20 or more compared to 54% non-PP. </w:t>
            </w:r>
          </w:p>
        </w:tc>
      </w:tr>
      <w:tr w:rsidR="00052A25" w14:paraId="754C2363" w14:textId="77777777" w:rsidTr="00215AAF">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D8FD" w14:textId="77777777" w:rsidR="00052A25" w:rsidRPr="00011FD8" w:rsidRDefault="00052A25" w:rsidP="00343066">
            <w:pPr>
              <w:pStyle w:val="TableRow"/>
              <w:rPr>
                <w:rFonts w:cs="Arial"/>
                <w:sz w:val="22"/>
                <w:szCs w:val="22"/>
              </w:rPr>
            </w:pPr>
            <w:r w:rsidRPr="00011FD8">
              <w:rPr>
                <w:rFonts w:cs="Arial"/>
                <w:sz w:val="22"/>
                <w:szCs w:val="22"/>
              </w:rPr>
              <w:t xml:space="preserve">Pupil Premium Pupils to take part in </w:t>
            </w:r>
            <w:proofErr w:type="spellStart"/>
            <w:r w:rsidRPr="00011FD8">
              <w:rPr>
                <w:rFonts w:cs="Arial"/>
                <w:sz w:val="22"/>
                <w:szCs w:val="22"/>
              </w:rPr>
              <w:t>extra curricular</w:t>
            </w:r>
            <w:proofErr w:type="spellEnd"/>
            <w:r w:rsidRPr="00011FD8">
              <w:rPr>
                <w:rFonts w:cs="Arial"/>
                <w:sz w:val="22"/>
                <w:szCs w:val="22"/>
              </w:rPr>
              <w:t xml:space="preserve"> activities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2AF7" w14:textId="77777777" w:rsidR="00052A25" w:rsidRPr="00214A01" w:rsidRDefault="00052A25" w:rsidP="00343066">
            <w:pPr>
              <w:pStyle w:val="TableRow"/>
              <w:rPr>
                <w:rStyle w:val="PlaceholderText"/>
                <w:color w:val="808080" w:themeColor="background1" w:themeShade="80"/>
                <w:sz w:val="22"/>
                <w:szCs w:val="22"/>
              </w:rPr>
            </w:pPr>
            <w:r w:rsidRPr="00214A01">
              <w:rPr>
                <w:rStyle w:val="PlaceholderText"/>
                <w:color w:val="808080" w:themeColor="background1" w:themeShade="80"/>
                <w:sz w:val="22"/>
                <w:szCs w:val="22"/>
              </w:rPr>
              <w:t xml:space="preserve">20% of disadvantaged pupils received a Children’s University award compared to 28% of non-disadvantaged pupils. </w:t>
            </w:r>
          </w:p>
        </w:tc>
      </w:tr>
      <w:tr w:rsidR="00052A25" w14:paraId="1EE0C3AA" w14:textId="77777777" w:rsidTr="00215AAF">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8F1F" w14:textId="77777777" w:rsidR="00052A25" w:rsidRPr="00011FD8" w:rsidRDefault="00052A25" w:rsidP="00343066">
            <w:pPr>
              <w:rPr>
                <w:sz w:val="22"/>
                <w:szCs w:val="22"/>
              </w:rPr>
            </w:pPr>
            <w:r w:rsidRPr="00011FD8">
              <w:rPr>
                <w:rFonts w:cs="Arial"/>
                <w:sz w:val="22"/>
                <w:szCs w:val="22"/>
              </w:rPr>
              <w:t>Increased attendance and punctuality for Pupil Premium pupils.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3902" w14:textId="77777777" w:rsidR="00052A25" w:rsidRPr="00214A01" w:rsidRDefault="00052A25" w:rsidP="00343066">
            <w:pPr>
              <w:rPr>
                <w:color w:val="808080" w:themeColor="background1" w:themeShade="80"/>
                <w:sz w:val="22"/>
                <w:szCs w:val="22"/>
              </w:rPr>
            </w:pPr>
            <w:r w:rsidRPr="00214A01">
              <w:rPr>
                <w:color w:val="808080" w:themeColor="background1" w:themeShade="80"/>
                <w:sz w:val="22"/>
                <w:szCs w:val="22"/>
              </w:rPr>
              <w:t>Attendance from 08/03/21 to 20/07/21 was 92.6%. This was lower than for non-PP pupils (96.0%) but higher than all pupils nationally (92.0%) and higher than FSM pupils nationally (89.1%).</w:t>
            </w:r>
          </w:p>
        </w:tc>
      </w:tr>
    </w:tbl>
    <w:p w14:paraId="2A7D5548" w14:textId="1B17506D" w:rsidR="00E66558" w:rsidRDefault="00215AAF">
      <w:pPr>
        <w:pStyle w:val="Heading2"/>
        <w:spacing w:before="600"/>
      </w:pPr>
      <w:r>
        <w:t>E</w:t>
      </w:r>
      <w:r w:rsidR="009D71E8">
        <w:t>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8944FF6" w:rsidR="00E66558" w:rsidRDefault="00B0208B">
            <w:pPr>
              <w:pStyle w:val="TableRow"/>
            </w:pPr>
            <w:proofErr w:type="spellStart"/>
            <w:r>
              <w:t>Lexplore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6BB1AEA" w:rsidR="00E66558" w:rsidRDefault="00B0208B">
            <w:pPr>
              <w:pStyle w:val="TableRowCentered"/>
              <w:jc w:val="left"/>
            </w:pPr>
            <w:proofErr w:type="spellStart"/>
            <w:r>
              <w:t>Lexplore</w:t>
            </w:r>
            <w:proofErr w:type="spellEnd"/>
            <w:r>
              <w:t xml:space="preserve"> Analytics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31BB44E" w:rsidR="00E66558" w:rsidRDefault="00215AAF">
            <w:pPr>
              <w:pStyle w:val="TableRow"/>
            </w:pPr>
            <w:r>
              <w:t>Thinking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B4C7A7C" w:rsidR="00E66558" w:rsidRDefault="00215AAF">
            <w:pPr>
              <w:pStyle w:val="TableRowCentered"/>
              <w:jc w:val="left"/>
            </w:pPr>
            <w:r>
              <w:t>Dialogue Works</w:t>
            </w:r>
          </w:p>
        </w:tc>
      </w:tr>
      <w:tr w:rsidR="00215AAF" w14:paraId="0684BC3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EC5C" w14:textId="4D4038E9" w:rsidR="00215AAF" w:rsidRDefault="00215AAF">
            <w:pPr>
              <w:pStyle w:val="TableRow"/>
            </w:pPr>
            <w:r>
              <w:t>Emotion Works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74E55" w14:textId="41276C9D" w:rsidR="00215AAF" w:rsidRDefault="00215AAF">
            <w:pPr>
              <w:pStyle w:val="TableRowCentered"/>
              <w:jc w:val="left"/>
            </w:pPr>
            <w:r>
              <w:t>Emotion Works</w:t>
            </w:r>
          </w:p>
        </w:tc>
      </w:tr>
    </w:tbl>
    <w:p w14:paraId="2A7D555F" w14:textId="77777777" w:rsidR="00E66558" w:rsidRDefault="00E66558">
      <w:pPr>
        <w:spacing w:after="0" w:line="240" w:lineRule="auto"/>
      </w:pPr>
    </w:p>
    <w:bookmarkEnd w:id="15"/>
    <w:bookmarkEnd w:id="16"/>
    <w:bookmarkEnd w:id="17"/>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53095B00" w:rsidR="005E28A4" w:rsidRDefault="009D71E8">
    <w:pPr>
      <w:pStyle w:val="Footer"/>
      <w:ind w:firstLine="4513"/>
    </w:pPr>
    <w:r>
      <w:fldChar w:fldCharType="begin"/>
    </w:r>
    <w:r>
      <w:instrText xml:space="preserve"> PAGE </w:instrText>
    </w:r>
    <w:r>
      <w:fldChar w:fldCharType="separate"/>
    </w:r>
    <w:r w:rsidR="00215AA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F81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474722"/>
    <w:multiLevelType w:val="hybridMultilevel"/>
    <w:tmpl w:val="F602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BE4C04"/>
    <w:multiLevelType w:val="hybridMultilevel"/>
    <w:tmpl w:val="0B74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4D87B2D"/>
    <w:multiLevelType w:val="hybridMultilevel"/>
    <w:tmpl w:val="6038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255305"/>
    <w:multiLevelType w:val="hybridMultilevel"/>
    <w:tmpl w:val="FB0A37F0"/>
    <w:lvl w:ilvl="0" w:tplc="E95AB1DC">
      <w:start w:val="202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6"/>
  </w:num>
  <w:num w:numId="4">
    <w:abstractNumId w:val="7"/>
  </w:num>
  <w:num w:numId="5">
    <w:abstractNumId w:val="0"/>
  </w:num>
  <w:num w:numId="6">
    <w:abstractNumId w:val="8"/>
  </w:num>
  <w:num w:numId="7">
    <w:abstractNumId w:val="11"/>
  </w:num>
  <w:num w:numId="8">
    <w:abstractNumId w:val="16"/>
  </w:num>
  <w:num w:numId="9">
    <w:abstractNumId w:val="13"/>
  </w:num>
  <w:num w:numId="10">
    <w:abstractNumId w:val="12"/>
  </w:num>
  <w:num w:numId="11">
    <w:abstractNumId w:val="4"/>
  </w:num>
  <w:num w:numId="12">
    <w:abstractNumId w:val="14"/>
  </w:num>
  <w:num w:numId="13">
    <w:abstractNumId w:val="9"/>
  </w:num>
  <w:num w:numId="14">
    <w:abstractNumId w:val="10"/>
  </w:num>
  <w:num w:numId="15">
    <w:abstractNumId w:val="1"/>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A25"/>
    <w:rsid w:val="00066B73"/>
    <w:rsid w:val="000A3C5B"/>
    <w:rsid w:val="000D1B41"/>
    <w:rsid w:val="00120AB1"/>
    <w:rsid w:val="00215AAF"/>
    <w:rsid w:val="00261AD4"/>
    <w:rsid w:val="00284782"/>
    <w:rsid w:val="00311575"/>
    <w:rsid w:val="0032422E"/>
    <w:rsid w:val="00354C22"/>
    <w:rsid w:val="004044AA"/>
    <w:rsid w:val="004606F6"/>
    <w:rsid w:val="004642B2"/>
    <w:rsid w:val="00560FFB"/>
    <w:rsid w:val="006570CE"/>
    <w:rsid w:val="006E3CF0"/>
    <w:rsid w:val="006E471E"/>
    <w:rsid w:val="006E7FB1"/>
    <w:rsid w:val="00741B9E"/>
    <w:rsid w:val="007C2F04"/>
    <w:rsid w:val="00832A27"/>
    <w:rsid w:val="008F06C8"/>
    <w:rsid w:val="009D1886"/>
    <w:rsid w:val="009D71E8"/>
    <w:rsid w:val="009D7EED"/>
    <w:rsid w:val="00A070B0"/>
    <w:rsid w:val="00A520CB"/>
    <w:rsid w:val="00B0208B"/>
    <w:rsid w:val="00BC77CC"/>
    <w:rsid w:val="00D33FE5"/>
    <w:rsid w:val="00D6193E"/>
    <w:rsid w:val="00D7033C"/>
    <w:rsid w:val="00DF2869"/>
    <w:rsid w:val="00E06013"/>
    <w:rsid w:val="00E2604C"/>
    <w:rsid w:val="00E62288"/>
    <w:rsid w:val="00E66558"/>
    <w:rsid w:val="00F45CC4"/>
    <w:rsid w:val="00F81753"/>
    <w:rsid w:val="00F82B25"/>
    <w:rsid w:val="00F8546E"/>
    <w:rsid w:val="00FE14A9"/>
    <w:rsid w:val="00FF4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72"/>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A070B0"/>
    <w:pPr>
      <w:autoSpaceDE w:val="0"/>
      <w:adjustRightInd w:val="0"/>
    </w:pPr>
    <w:rPr>
      <w:rFonts w:ascii="Calibri" w:eastAsiaTheme="minorHAnsi" w:hAnsi="Calibri" w:cs="Calibri"/>
      <w:color w:val="000000"/>
      <w:sz w:val="24"/>
      <w:szCs w:val="24"/>
      <w:lang w:eastAsia="en-US"/>
    </w:rPr>
  </w:style>
  <w:style w:type="character" w:styleId="PlaceholderText">
    <w:name w:val="Placeholder Text"/>
    <w:basedOn w:val="DefaultParagraphFont"/>
    <w:rsid w:val="00052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12008, head</cp:lastModifiedBy>
  <cp:revision>8</cp:revision>
  <cp:lastPrinted>2021-09-14T09:32:00Z</cp:lastPrinted>
  <dcterms:created xsi:type="dcterms:W3CDTF">2021-09-14T16:01:00Z</dcterms:created>
  <dcterms:modified xsi:type="dcterms:W3CDTF">2021-12-09T19:58:00Z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